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22811">
      <w:pPr>
        <w:jc w:val="left"/>
        <w:rPr>
          <w:rFonts w:hint="default" w:ascii="黑体" w:hAnsi="黑体" w:eastAsia="黑体" w:cs="黑体"/>
          <w:b/>
          <w:color w:val="000000"/>
          <w:kern w:val="0"/>
          <w:sz w:val="32"/>
          <w:szCs w:val="32"/>
          <w:u w:val="single"/>
          <w:lang w:val="en-US" w:eastAsia="zh-CN"/>
        </w:rPr>
      </w:pPr>
      <w:r>
        <w:rPr>
          <w:rFonts w:hint="eastAsia" w:ascii="黑体" w:hAnsi="黑体" w:eastAsia="黑体" w:cs="黑体"/>
          <w:b/>
          <w:color w:val="000000"/>
          <w:kern w:val="0"/>
          <w:sz w:val="32"/>
          <w:szCs w:val="32"/>
          <w:u w:val="single"/>
          <w:lang w:eastAsia="zh-CN"/>
        </w:rPr>
        <w:t>附件</w:t>
      </w:r>
      <w:r>
        <w:rPr>
          <w:rFonts w:hint="eastAsia" w:ascii="黑体" w:hAnsi="黑体" w:eastAsia="黑体" w:cs="黑体"/>
          <w:b/>
          <w:color w:val="000000"/>
          <w:kern w:val="0"/>
          <w:sz w:val="32"/>
          <w:szCs w:val="32"/>
          <w:u w:val="single"/>
          <w:lang w:val="en-US" w:eastAsia="zh-CN"/>
        </w:rPr>
        <w:t>1</w:t>
      </w:r>
    </w:p>
    <w:p w14:paraId="0ACE6FB1">
      <w:pPr>
        <w:jc w:val="center"/>
        <w:rPr>
          <w:rFonts w:cs="华文中宋" w:asciiTheme="minorEastAsia" w:hAnsiTheme="minorEastAsia"/>
          <w:b/>
          <w:color w:val="000000"/>
          <w:kern w:val="0"/>
          <w:sz w:val="36"/>
          <w:szCs w:val="36"/>
        </w:rPr>
      </w:pPr>
      <w:r>
        <w:rPr>
          <w:rFonts w:hint="eastAsia" w:cs="Arial" w:asciiTheme="minorEastAsia" w:hAnsiTheme="minorEastAsia"/>
          <w:b/>
          <w:color w:val="000000"/>
          <w:kern w:val="0"/>
          <w:sz w:val="36"/>
          <w:szCs w:val="36"/>
          <w:u w:val="single"/>
        </w:rPr>
        <w:t>实验</w:t>
      </w:r>
      <w:r>
        <w:rPr>
          <w:rFonts w:hint="eastAsia" w:cs="Arial" w:asciiTheme="minorEastAsia" w:hAnsiTheme="minorEastAsia"/>
          <w:b/>
          <w:color w:val="000000"/>
          <w:kern w:val="0"/>
          <w:sz w:val="36"/>
          <w:szCs w:val="36"/>
          <w:u w:val="single"/>
          <w:lang w:val="en-US" w:eastAsia="zh-CN"/>
        </w:rPr>
        <w:t>耗材</w:t>
      </w:r>
      <w:r>
        <w:rPr>
          <w:rFonts w:hint="eastAsia" w:cs="Arial" w:asciiTheme="minorEastAsia" w:hAnsiTheme="minorEastAsia"/>
          <w:b/>
          <w:color w:val="000000"/>
          <w:kern w:val="0"/>
          <w:sz w:val="36"/>
          <w:szCs w:val="36"/>
          <w:u w:val="single"/>
        </w:rPr>
        <w:t>采购</w:t>
      </w:r>
      <w:r>
        <w:rPr>
          <w:rFonts w:hint="eastAsia" w:cs="华文中宋" w:asciiTheme="minorEastAsia" w:hAnsiTheme="minorEastAsia"/>
          <w:b/>
          <w:color w:val="000000"/>
          <w:kern w:val="0"/>
          <w:sz w:val="36"/>
          <w:szCs w:val="36"/>
          <w:lang w:val="zh-CN"/>
        </w:rPr>
        <w:t>项目</w:t>
      </w:r>
      <w:r>
        <w:rPr>
          <w:rFonts w:hint="eastAsia" w:cs="华文中宋" w:asciiTheme="minorEastAsia" w:hAnsiTheme="minorEastAsia"/>
          <w:b/>
          <w:color w:val="000000"/>
          <w:kern w:val="0"/>
          <w:sz w:val="36"/>
          <w:szCs w:val="36"/>
        </w:rPr>
        <w:t>需求书</w:t>
      </w:r>
    </w:p>
    <w:p w14:paraId="6755674E">
      <w:pPr>
        <w:jc w:val="left"/>
        <w:rPr>
          <w:rFonts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一、供应商资格要求：</w:t>
      </w:r>
    </w:p>
    <w:p w14:paraId="695F3C9E">
      <w:pPr>
        <w:spacing w:line="360" w:lineRule="exact"/>
        <w:jc w:val="left"/>
        <w:rPr>
          <w:rFonts w:ascii="华文中宋" w:hAnsi="华文中宋" w:eastAsia="华文中宋" w:cs="Arial"/>
          <w:szCs w:val="21"/>
        </w:rPr>
      </w:pPr>
      <w:r>
        <w:rPr>
          <w:rFonts w:hint="eastAsia" w:ascii="华文中宋" w:hAnsi="华文中宋" w:eastAsia="华文中宋" w:cs="Arial"/>
          <w:szCs w:val="21"/>
        </w:rPr>
        <w:t>1.</w:t>
      </w:r>
      <w:r>
        <w:rPr>
          <w:rFonts w:hint="eastAsia" w:ascii="华文中宋" w:hAnsi="华文中宋" w:eastAsia="华文中宋" w:cs="Arial"/>
          <w:szCs w:val="21"/>
          <w:lang w:val="hr-HR"/>
        </w:rPr>
        <w:t>供应商须符合《中华人民共和国政府采购法》第二十二条规定。</w:t>
      </w:r>
    </w:p>
    <w:p w14:paraId="1C637439">
      <w:pPr>
        <w:spacing w:line="360" w:lineRule="exact"/>
        <w:jc w:val="left"/>
        <w:rPr>
          <w:rFonts w:ascii="华文中宋" w:hAnsi="华文中宋" w:eastAsia="华文中宋" w:cs="Arial"/>
          <w:szCs w:val="21"/>
          <w:lang w:val="hr-HR"/>
        </w:rPr>
      </w:pPr>
      <w:r>
        <w:rPr>
          <w:rFonts w:hint="eastAsia" w:ascii="华文中宋" w:hAnsi="华文中宋" w:eastAsia="华文中宋" w:cs="Arial"/>
          <w:szCs w:val="21"/>
        </w:rPr>
        <w:t>2.</w:t>
      </w:r>
      <w:r>
        <w:rPr>
          <w:rFonts w:hint="eastAsia" w:ascii="华文中宋" w:hAnsi="华文中宋" w:eastAsia="华文中宋" w:cs="Arial"/>
          <w:szCs w:val="21"/>
          <w:lang w:val="hr-HR"/>
        </w:rPr>
        <w:t>供应商必须是中华人民共和国境内登记注册的能够独立承担民事责任的法人、其他组织或自然人。</w:t>
      </w:r>
    </w:p>
    <w:p w14:paraId="6EF19477">
      <w:pPr>
        <w:spacing w:line="360" w:lineRule="exact"/>
        <w:rPr>
          <w:rFonts w:hint="eastAsia" w:ascii="华文中宋" w:hAnsi="华文中宋" w:eastAsia="华文中宋" w:cs="Arial"/>
          <w:szCs w:val="21"/>
          <w:lang w:val="hr-HR"/>
        </w:rPr>
      </w:pPr>
      <w:r>
        <w:rPr>
          <w:rFonts w:hint="eastAsia" w:ascii="华文中宋" w:hAnsi="华文中宋" w:eastAsia="华文中宋" w:cs="Arial"/>
          <w:color w:val="auto"/>
          <w:szCs w:val="21"/>
        </w:rPr>
        <w:t>3.</w:t>
      </w:r>
      <w:r>
        <w:rPr>
          <w:rFonts w:hint="eastAsia" w:ascii="华文中宋" w:hAnsi="华文中宋" w:eastAsia="华文中宋" w:cs="Arial"/>
          <w:szCs w:val="21"/>
          <w:lang w:val="hr-HR"/>
        </w:rPr>
        <w:t>供应商必须依法取得《营业执照》，且经营范围须涵盖“实验用品（耗材）、实验仪器、玻璃仪器、劳保用品等”或其他与需供应耗材经营相关内容</w:t>
      </w:r>
    </w:p>
    <w:p w14:paraId="681EDFDD">
      <w:pPr>
        <w:spacing w:line="360" w:lineRule="exact"/>
        <w:jc w:val="left"/>
        <w:rPr>
          <w:rFonts w:ascii="华文中宋" w:hAnsi="华文中宋" w:eastAsia="华文中宋" w:cs="Arial"/>
          <w:color w:val="auto"/>
          <w:szCs w:val="21"/>
        </w:rPr>
      </w:pPr>
      <w:r>
        <w:rPr>
          <w:rFonts w:hint="eastAsia" w:ascii="华文中宋" w:hAnsi="华文中宋" w:eastAsia="华文中宋" w:cs="Arial"/>
          <w:color w:val="auto"/>
          <w:szCs w:val="21"/>
          <w:lang w:val="hr-HR" w:eastAsia="zh-CN"/>
        </w:rPr>
        <w:t>4.</w:t>
      </w:r>
      <w:r>
        <w:rPr>
          <w:rFonts w:hint="eastAsia" w:ascii="华文中宋" w:hAnsi="华文中宋" w:eastAsia="华文中宋" w:cs="Arial"/>
          <w:color w:val="auto"/>
          <w:szCs w:val="21"/>
          <w:lang w:val="zh-CN"/>
        </w:rPr>
        <w:t>供应商参加政府采购活动前三年内，在经营活动中没有重大违法记录（须提供书面声明）。</w:t>
      </w:r>
    </w:p>
    <w:p w14:paraId="58E57FDA">
      <w:pPr>
        <w:spacing w:line="360" w:lineRule="exact"/>
        <w:jc w:val="left"/>
        <w:rPr>
          <w:rFonts w:ascii="华文中宋" w:hAnsi="华文中宋" w:eastAsia="华文中宋" w:cs="Arial"/>
          <w:szCs w:val="21"/>
        </w:rPr>
      </w:pPr>
      <w:r>
        <w:rPr>
          <w:rFonts w:hint="eastAsia" w:ascii="华文中宋" w:hAnsi="华文中宋" w:eastAsia="华文中宋" w:cs="Arial"/>
          <w:color w:val="auto"/>
          <w:szCs w:val="21"/>
          <w:lang w:val="en-US" w:eastAsia="zh-CN"/>
        </w:rPr>
        <w:t>5</w:t>
      </w:r>
      <w:r>
        <w:rPr>
          <w:rFonts w:hint="eastAsia" w:ascii="华文中宋" w:hAnsi="华文中宋" w:eastAsia="华文中宋" w:cs="Arial"/>
          <w:color w:val="auto"/>
          <w:szCs w:val="21"/>
        </w:rPr>
        <w:t>.</w:t>
      </w:r>
      <w:r>
        <w:rPr>
          <w:rFonts w:hint="eastAsia" w:ascii="华文中宋" w:hAnsi="华文中宋" w:eastAsia="华文中宋" w:cs="Arial"/>
          <w:color w:val="auto"/>
          <w:szCs w:val="21"/>
          <w:lang w:val="zh-CN"/>
        </w:rPr>
        <w:t>供应商未被列入</w:t>
      </w:r>
      <w:r>
        <w:rPr>
          <w:rFonts w:hint="eastAsia" w:ascii="华文中宋" w:hAnsi="华文中宋" w:eastAsia="华文中宋" w:cs="Arial"/>
          <w:color w:val="auto"/>
          <w:szCs w:val="21"/>
        </w:rPr>
        <w:t>“</w:t>
      </w:r>
      <w:r>
        <w:rPr>
          <w:rFonts w:hint="eastAsia" w:ascii="华文中宋" w:hAnsi="华文中宋" w:eastAsia="华文中宋" w:cs="Arial"/>
          <w:color w:val="auto"/>
          <w:szCs w:val="21"/>
          <w:lang w:val="zh-CN"/>
        </w:rPr>
        <w:t>信用中国</w:t>
      </w:r>
      <w:r>
        <w:rPr>
          <w:rFonts w:hint="eastAsia" w:ascii="华文中宋" w:hAnsi="华文中宋" w:eastAsia="华文中宋" w:cs="Arial"/>
          <w:color w:val="auto"/>
          <w:szCs w:val="21"/>
        </w:rPr>
        <w:t>”</w:t>
      </w:r>
      <w:r>
        <w:rPr>
          <w:rFonts w:hint="eastAsia" w:ascii="华文中宋" w:hAnsi="华文中宋" w:eastAsia="华文中宋" w:cs="Arial"/>
          <w:color w:val="auto"/>
          <w:szCs w:val="21"/>
          <w:lang w:val="zh-CN"/>
        </w:rPr>
        <w:t>网站</w:t>
      </w:r>
      <w:r>
        <w:rPr>
          <w:rFonts w:hint="eastAsia" w:ascii="华文中宋" w:hAnsi="华文中宋" w:eastAsia="华文中宋" w:cs="Arial"/>
          <w:color w:val="auto"/>
          <w:szCs w:val="21"/>
        </w:rPr>
        <w:t>(www.creditchina.gov.c</w:t>
      </w:r>
      <w:r>
        <w:rPr>
          <w:rFonts w:hint="eastAsia" w:ascii="华文中宋" w:hAnsi="华文中宋" w:eastAsia="华文中宋" w:cs="Arial"/>
          <w:szCs w:val="21"/>
        </w:rPr>
        <w:t>n)“</w:t>
      </w:r>
      <w:r>
        <w:rPr>
          <w:rFonts w:hint="eastAsia" w:ascii="华文中宋" w:hAnsi="华文中宋" w:eastAsia="华文中宋" w:cs="Arial"/>
          <w:szCs w:val="21"/>
          <w:lang w:val="zh-CN"/>
        </w:rPr>
        <w:t>记录失信被执行人或重大税收违法案件当事人名单或政府采购严重违法失信行为</w:t>
      </w:r>
      <w:r>
        <w:rPr>
          <w:rFonts w:hint="eastAsia" w:ascii="华文中宋" w:hAnsi="华文中宋" w:eastAsia="华文中宋" w:cs="Arial"/>
          <w:szCs w:val="21"/>
        </w:rPr>
        <w:t>”</w:t>
      </w:r>
      <w:r>
        <w:rPr>
          <w:rFonts w:hint="eastAsia" w:ascii="华文中宋" w:hAnsi="华文中宋" w:eastAsia="华文中宋" w:cs="Arial"/>
          <w:szCs w:val="21"/>
          <w:lang w:val="zh-CN"/>
        </w:rPr>
        <w:t>记录名单</w:t>
      </w:r>
      <w:r>
        <w:rPr>
          <w:rFonts w:hint="eastAsia" w:ascii="华文中宋" w:hAnsi="华文中宋" w:eastAsia="华文中宋" w:cs="Arial"/>
          <w:szCs w:val="21"/>
        </w:rPr>
        <w:t>；</w:t>
      </w:r>
      <w:r>
        <w:rPr>
          <w:rFonts w:hint="eastAsia" w:ascii="华文中宋" w:hAnsi="华文中宋" w:eastAsia="华文中宋" w:cs="Arial"/>
          <w:szCs w:val="21"/>
          <w:lang w:val="zh-CN"/>
        </w:rPr>
        <w:t>不处于中国政府采购网</w:t>
      </w:r>
      <w:r>
        <w:rPr>
          <w:rFonts w:hint="eastAsia" w:ascii="华文中宋" w:hAnsi="华文中宋" w:eastAsia="华文中宋" w:cs="Arial"/>
          <w:szCs w:val="21"/>
        </w:rPr>
        <w:t>(www.ccgp.gov.cn)“政府采购严重违法失信行为信息记录”中的禁止参加政府采购活动期间。</w:t>
      </w:r>
    </w:p>
    <w:p w14:paraId="00759DDE">
      <w:pPr>
        <w:spacing w:line="360" w:lineRule="exact"/>
        <w:jc w:val="left"/>
        <w:rPr>
          <w:rFonts w:hint="eastAsia" w:ascii="华文中宋" w:hAnsi="华文中宋" w:eastAsia="华文中宋" w:cs="Arial"/>
          <w:szCs w:val="21"/>
        </w:rPr>
      </w:pPr>
      <w:r>
        <w:rPr>
          <w:rFonts w:hint="eastAsia" w:ascii="华文中宋" w:hAnsi="华文中宋" w:eastAsia="华文中宋" w:cs="Arial"/>
          <w:szCs w:val="21"/>
          <w:lang w:val="en-US" w:eastAsia="zh-CN"/>
        </w:rPr>
        <w:t>6</w:t>
      </w:r>
      <w:r>
        <w:rPr>
          <w:rFonts w:hint="eastAsia" w:ascii="华文中宋" w:hAnsi="华文中宋" w:eastAsia="华文中宋" w:cs="Arial"/>
          <w:szCs w:val="21"/>
        </w:rPr>
        <w:t>.单位负责人为同一人或者存在直接控股、管理关系的不同供应商，不得参加同一合同项下的政府采购活动。</w:t>
      </w:r>
    </w:p>
    <w:p w14:paraId="169A4687">
      <w:pPr>
        <w:jc w:val="center"/>
        <w:rPr>
          <w:rFonts w:cs="华文中宋" w:asciiTheme="minorEastAsia" w:hAnsiTheme="minorEastAsia"/>
          <w:b/>
          <w:color w:val="000000"/>
          <w:kern w:val="0"/>
          <w:sz w:val="36"/>
          <w:szCs w:val="36"/>
        </w:rPr>
      </w:pPr>
    </w:p>
    <w:p w14:paraId="7B0CA373">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二、技术需求</w:t>
      </w:r>
    </w:p>
    <w:tbl>
      <w:tblPr>
        <w:tblStyle w:val="8"/>
        <w:tblW w:w="15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03"/>
        <w:gridCol w:w="1455"/>
        <w:gridCol w:w="2355"/>
      </w:tblGrid>
      <w:tr w14:paraId="3838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26" w:type="dxa"/>
            <w:vAlign w:val="center"/>
          </w:tcPr>
          <w:p w14:paraId="5647F973">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1303" w:type="dxa"/>
            <w:vAlign w:val="center"/>
          </w:tcPr>
          <w:p w14:paraId="6AA9EE01">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455" w:type="dxa"/>
            <w:vAlign w:val="center"/>
          </w:tcPr>
          <w:p w14:paraId="54091266">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355" w:type="dxa"/>
            <w:vAlign w:val="center"/>
          </w:tcPr>
          <w:p w14:paraId="5FD8A0B8">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14:paraId="0F0D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26" w:type="dxa"/>
            <w:vAlign w:val="center"/>
          </w:tcPr>
          <w:p w14:paraId="099C138E">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w:t>
            </w:r>
          </w:p>
        </w:tc>
        <w:tc>
          <w:tcPr>
            <w:tcW w:w="11303" w:type="dxa"/>
            <w:vAlign w:val="center"/>
          </w:tcPr>
          <w:p w14:paraId="1F271D91">
            <w:pPr>
              <w:spacing w:line="360" w:lineRule="exac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产品要求：</w:t>
            </w:r>
          </w:p>
          <w:p w14:paraId="014670C1">
            <w:pPr>
              <w:spacing w:line="360" w:lineRule="exac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须能供应符合采购项目预算明细表内的产品（详见实验</w:t>
            </w:r>
            <w:r>
              <w:rPr>
                <w:rFonts w:hint="eastAsia" w:cs="华文中宋" w:asciiTheme="minorEastAsia" w:hAnsiTheme="minorEastAsia"/>
                <w:color w:val="000000"/>
                <w:kern w:val="0"/>
                <w:szCs w:val="21"/>
                <w:lang w:val="en-US" w:eastAsia="zh-CN"/>
              </w:rPr>
              <w:t>耗材</w:t>
            </w:r>
            <w:r>
              <w:rPr>
                <w:rFonts w:hint="eastAsia" w:cs="华文中宋" w:asciiTheme="minorEastAsia" w:hAnsiTheme="minorEastAsia"/>
                <w:color w:val="000000"/>
                <w:kern w:val="0"/>
                <w:szCs w:val="21"/>
              </w:rPr>
              <w:t>采购</w:t>
            </w:r>
            <w:r>
              <w:rPr>
                <w:rFonts w:hint="eastAsia" w:cs="华文中宋" w:asciiTheme="minorEastAsia" w:hAnsiTheme="minorEastAsia"/>
                <w:color w:val="000000"/>
                <w:kern w:val="0"/>
                <w:szCs w:val="21"/>
                <w:lang w:val="zh-CN"/>
              </w:rPr>
              <w:t>项目</w:t>
            </w:r>
            <w:r>
              <w:rPr>
                <w:rFonts w:hint="eastAsia" w:cs="华文中宋" w:asciiTheme="minorEastAsia" w:hAnsiTheme="minorEastAsia"/>
                <w:color w:val="000000"/>
                <w:kern w:val="0"/>
                <w:szCs w:val="21"/>
              </w:rPr>
              <w:t>预算明细表）。</w:t>
            </w:r>
          </w:p>
        </w:tc>
        <w:tc>
          <w:tcPr>
            <w:tcW w:w="1455" w:type="dxa"/>
            <w:vAlign w:val="center"/>
          </w:tcPr>
          <w:p w14:paraId="674802F4">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55" w:type="dxa"/>
            <w:vAlign w:val="center"/>
          </w:tcPr>
          <w:p w14:paraId="0A0B4D6B">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保证供货品种齐全</w:t>
            </w:r>
          </w:p>
        </w:tc>
      </w:tr>
      <w:tr w14:paraId="30B0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26" w:type="dxa"/>
            <w:vAlign w:val="center"/>
          </w:tcPr>
          <w:p w14:paraId="53802B66">
            <w:pPr>
              <w:spacing w:line="360" w:lineRule="exact"/>
              <w:jc w:val="center"/>
              <w:rPr>
                <w:rFonts w:hint="eastAsia" w:cs="华文中宋" w:asciiTheme="minorEastAsia" w:hAnsiTheme="minorEastAsia" w:eastAsiaTheme="minorEastAsia"/>
                <w:kern w:val="0"/>
                <w:szCs w:val="21"/>
                <w:lang w:eastAsia="zh-CN"/>
              </w:rPr>
            </w:pPr>
            <w:r>
              <w:rPr>
                <w:rFonts w:hint="eastAsia" w:cs="华文中宋" w:asciiTheme="minorEastAsia" w:hAnsiTheme="minorEastAsia"/>
                <w:kern w:val="0"/>
                <w:szCs w:val="21"/>
                <w:lang w:val="en-US" w:eastAsia="zh-CN"/>
              </w:rPr>
              <w:t>2</w:t>
            </w:r>
          </w:p>
        </w:tc>
        <w:tc>
          <w:tcPr>
            <w:tcW w:w="11303" w:type="dxa"/>
            <w:vAlign w:val="center"/>
          </w:tcPr>
          <w:p w14:paraId="1C56A695">
            <w:pPr>
              <w:spacing w:line="360" w:lineRule="exact"/>
              <w:rPr>
                <w:rFonts w:cs="华文中宋" w:asciiTheme="minorEastAsia" w:hAnsiTheme="minorEastAsia"/>
                <w:kern w:val="0"/>
                <w:szCs w:val="21"/>
              </w:rPr>
            </w:pPr>
            <w:r>
              <w:rPr>
                <w:rFonts w:hint="eastAsia" w:cs="华文中宋" w:asciiTheme="minorEastAsia" w:hAnsiTheme="minorEastAsia"/>
                <w:kern w:val="0"/>
                <w:szCs w:val="21"/>
              </w:rPr>
              <w:t>产品质量要求：(详见实验</w:t>
            </w:r>
            <w:r>
              <w:rPr>
                <w:rFonts w:hint="eastAsia" w:cs="华文中宋" w:asciiTheme="minorEastAsia" w:hAnsiTheme="minorEastAsia"/>
                <w:kern w:val="0"/>
                <w:szCs w:val="21"/>
                <w:lang w:val="en-US" w:eastAsia="zh-CN"/>
              </w:rPr>
              <w:t>耗材</w:t>
            </w:r>
            <w:r>
              <w:rPr>
                <w:rFonts w:hint="eastAsia" w:cs="华文中宋" w:asciiTheme="minorEastAsia" w:hAnsiTheme="minorEastAsia"/>
                <w:kern w:val="0"/>
                <w:szCs w:val="21"/>
              </w:rPr>
              <w:t>采购项目明细表）</w:t>
            </w:r>
          </w:p>
        </w:tc>
        <w:tc>
          <w:tcPr>
            <w:tcW w:w="1455" w:type="dxa"/>
            <w:vAlign w:val="center"/>
          </w:tcPr>
          <w:p w14:paraId="0DD8033B">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是</w:t>
            </w:r>
          </w:p>
        </w:tc>
        <w:tc>
          <w:tcPr>
            <w:tcW w:w="2355" w:type="dxa"/>
            <w:vAlign w:val="center"/>
          </w:tcPr>
          <w:p w14:paraId="055DAC17">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保证产品质量</w:t>
            </w:r>
          </w:p>
        </w:tc>
      </w:tr>
    </w:tbl>
    <w:p w14:paraId="213B544D">
      <w:pPr>
        <w:jc w:val="left"/>
        <w:rPr>
          <w:rFonts w:cs="华文中宋" w:asciiTheme="minorEastAsia" w:hAnsiTheme="minorEastAsia"/>
          <w:color w:val="000000"/>
          <w:kern w:val="0"/>
          <w:sz w:val="28"/>
          <w:szCs w:val="28"/>
        </w:rPr>
      </w:pPr>
    </w:p>
    <w:p w14:paraId="3AE30C8A">
      <w:pPr>
        <w:jc w:val="left"/>
        <w:rPr>
          <w:rFonts w:cs="华文中宋" w:asciiTheme="minorEastAsia" w:hAnsiTheme="minorEastAsia"/>
          <w:color w:val="000000"/>
          <w:kern w:val="0"/>
          <w:sz w:val="28"/>
          <w:szCs w:val="28"/>
        </w:rPr>
      </w:pPr>
    </w:p>
    <w:p w14:paraId="2089D61F">
      <w:pPr>
        <w:jc w:val="left"/>
        <w:rPr>
          <w:rFonts w:cs="华文中宋" w:asciiTheme="minorEastAsia" w:hAnsiTheme="minorEastAsia"/>
          <w:color w:val="000000"/>
          <w:kern w:val="0"/>
          <w:sz w:val="28"/>
          <w:szCs w:val="28"/>
        </w:rPr>
      </w:pPr>
    </w:p>
    <w:p w14:paraId="02CF97DA">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三、商务需求</w:t>
      </w:r>
    </w:p>
    <w:tbl>
      <w:tblPr>
        <w:tblStyle w:val="8"/>
        <w:tblW w:w="15655"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1353"/>
        <w:gridCol w:w="1485"/>
        <w:gridCol w:w="2340"/>
      </w:tblGrid>
      <w:tr w14:paraId="565A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E0A66E3">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1353" w:type="dxa"/>
            <w:vAlign w:val="center"/>
          </w:tcPr>
          <w:p w14:paraId="12A97D13">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485" w:type="dxa"/>
            <w:vAlign w:val="center"/>
          </w:tcPr>
          <w:p w14:paraId="4138A0D8">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340" w:type="dxa"/>
            <w:vAlign w:val="center"/>
          </w:tcPr>
          <w:p w14:paraId="63EE1901">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14:paraId="10E8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0DEB2B8">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w:t>
            </w:r>
          </w:p>
        </w:tc>
        <w:tc>
          <w:tcPr>
            <w:tcW w:w="11353" w:type="dxa"/>
            <w:vAlign w:val="center"/>
          </w:tcPr>
          <w:p w14:paraId="3085C44D">
            <w:pPr>
              <w:spacing w:line="360" w:lineRule="exact"/>
              <w:jc w:val="left"/>
              <w:rPr>
                <w:rFonts w:hint="default" w:cs="华文中宋" w:asciiTheme="minorEastAsia" w:hAnsiTheme="minorEastAsia" w:eastAsiaTheme="minorEastAsia"/>
                <w:color w:val="000000"/>
                <w:kern w:val="0"/>
                <w:szCs w:val="21"/>
                <w:lang w:val="en-US" w:eastAsia="zh-CN"/>
              </w:rPr>
            </w:pPr>
            <w:r>
              <w:rPr>
                <w:rFonts w:hint="eastAsia" w:cs="华文中宋" w:asciiTheme="minorEastAsia" w:hAnsiTheme="minorEastAsia"/>
                <w:color w:val="000000"/>
                <w:kern w:val="0"/>
                <w:szCs w:val="21"/>
              </w:rPr>
              <w:t>采购周期：</w:t>
            </w:r>
            <w:r>
              <w:rPr>
                <w:rFonts w:hint="eastAsia" w:cs="华文中宋" w:asciiTheme="minorEastAsia" w:hAnsiTheme="minorEastAsia"/>
                <w:color w:val="auto"/>
                <w:kern w:val="0"/>
                <w:szCs w:val="21"/>
                <w:lang w:val="en-US" w:eastAsia="zh-CN"/>
              </w:rPr>
              <w:t>一</w:t>
            </w:r>
            <w:r>
              <w:rPr>
                <w:rFonts w:hint="eastAsia" w:cs="华文中宋" w:asciiTheme="minorEastAsia" w:hAnsiTheme="minorEastAsia"/>
                <w:color w:val="auto"/>
                <w:kern w:val="0"/>
                <w:szCs w:val="21"/>
                <w:lang w:val="hr-HR" w:eastAsia="zh-CN"/>
              </w:rPr>
              <w:t>年，周期内按需采购，项目时间达到采购周期或付款费用达到采购预算的，本项目自动终止。</w:t>
            </w:r>
          </w:p>
        </w:tc>
        <w:tc>
          <w:tcPr>
            <w:tcW w:w="1485" w:type="dxa"/>
            <w:vAlign w:val="center"/>
          </w:tcPr>
          <w:p w14:paraId="2DD72BC0">
            <w:pPr>
              <w:spacing w:line="360" w:lineRule="exact"/>
              <w:jc w:val="center"/>
              <w:rPr>
                <w:rFonts w:cs="华文中宋" w:asciiTheme="minorEastAsia" w:hAnsiTheme="minorEastAsia"/>
                <w:color w:val="000000"/>
                <w:kern w:val="0"/>
                <w:sz w:val="13"/>
                <w:szCs w:val="13"/>
              </w:rPr>
            </w:pPr>
          </w:p>
        </w:tc>
        <w:tc>
          <w:tcPr>
            <w:tcW w:w="2340" w:type="dxa"/>
            <w:vAlign w:val="center"/>
          </w:tcPr>
          <w:p w14:paraId="2D2B56F5">
            <w:pPr>
              <w:spacing w:line="360" w:lineRule="exact"/>
              <w:jc w:val="center"/>
              <w:rPr>
                <w:rFonts w:cs="华文中宋" w:asciiTheme="minorEastAsia" w:hAnsiTheme="minorEastAsia"/>
                <w:color w:val="000000"/>
                <w:kern w:val="0"/>
                <w:sz w:val="13"/>
                <w:szCs w:val="13"/>
              </w:rPr>
            </w:pPr>
          </w:p>
        </w:tc>
      </w:tr>
      <w:tr w14:paraId="40D5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77" w:type="dxa"/>
            <w:vAlign w:val="center"/>
          </w:tcPr>
          <w:p w14:paraId="3EF59003">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w:t>
            </w:r>
          </w:p>
        </w:tc>
        <w:tc>
          <w:tcPr>
            <w:tcW w:w="11353" w:type="dxa"/>
            <w:vAlign w:val="center"/>
          </w:tcPr>
          <w:p w14:paraId="5A942C53">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付款方式：银行转账，</w:t>
            </w:r>
            <w:r>
              <w:rPr>
                <w:rFonts w:hint="eastAsia" w:cs="华文中宋" w:asciiTheme="minorEastAsia" w:hAnsiTheme="minorEastAsia"/>
                <w:color w:val="auto"/>
                <w:kern w:val="0"/>
                <w:szCs w:val="21"/>
              </w:rPr>
              <w:t>货验收合格且票据齐全的情况下，</w:t>
            </w:r>
            <w:r>
              <w:rPr>
                <w:rFonts w:hint="eastAsia" w:cs="华文中宋" w:asciiTheme="minorEastAsia" w:hAnsiTheme="minorEastAsia"/>
                <w:color w:val="auto"/>
                <w:kern w:val="0"/>
                <w:szCs w:val="21"/>
                <w:highlight w:val="none"/>
                <w:lang w:val="en-US" w:eastAsia="zh-CN"/>
              </w:rPr>
              <w:t>90</w:t>
            </w:r>
            <w:r>
              <w:rPr>
                <w:rFonts w:hint="eastAsia" w:cs="华文中宋" w:asciiTheme="minorEastAsia" w:hAnsiTheme="minorEastAsia"/>
                <w:color w:val="auto"/>
                <w:kern w:val="0"/>
                <w:szCs w:val="21"/>
                <w:highlight w:val="none"/>
              </w:rPr>
              <w:t>天内付款</w:t>
            </w:r>
            <w:r>
              <w:rPr>
                <w:color w:val="auto"/>
              </w:rPr>
              <w:t>（中小企业按相关政策执行）。</w:t>
            </w:r>
          </w:p>
        </w:tc>
        <w:tc>
          <w:tcPr>
            <w:tcW w:w="1485" w:type="dxa"/>
            <w:vAlign w:val="center"/>
          </w:tcPr>
          <w:p w14:paraId="71674584">
            <w:pPr>
              <w:spacing w:line="360" w:lineRule="exact"/>
              <w:jc w:val="center"/>
              <w:rPr>
                <w:rFonts w:cs="华文中宋" w:asciiTheme="minorEastAsia" w:hAnsiTheme="minorEastAsia"/>
                <w:color w:val="000000"/>
                <w:kern w:val="0"/>
                <w:sz w:val="13"/>
                <w:szCs w:val="13"/>
              </w:rPr>
            </w:pPr>
          </w:p>
        </w:tc>
        <w:tc>
          <w:tcPr>
            <w:tcW w:w="2340" w:type="dxa"/>
            <w:vAlign w:val="center"/>
          </w:tcPr>
          <w:p w14:paraId="105D3674">
            <w:pPr>
              <w:spacing w:line="360" w:lineRule="exact"/>
              <w:jc w:val="center"/>
              <w:rPr>
                <w:rFonts w:cs="华文中宋" w:asciiTheme="minorEastAsia" w:hAnsiTheme="minorEastAsia"/>
                <w:color w:val="000000"/>
                <w:kern w:val="0"/>
                <w:sz w:val="13"/>
                <w:szCs w:val="13"/>
              </w:rPr>
            </w:pPr>
          </w:p>
        </w:tc>
      </w:tr>
      <w:tr w14:paraId="3517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dxa"/>
            <w:vAlign w:val="center"/>
          </w:tcPr>
          <w:p w14:paraId="452C05D5">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w:t>
            </w:r>
          </w:p>
        </w:tc>
        <w:tc>
          <w:tcPr>
            <w:tcW w:w="11353" w:type="dxa"/>
            <w:vAlign w:val="center"/>
          </w:tcPr>
          <w:p w14:paraId="2EAB63BB">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送货方式：</w:t>
            </w:r>
          </w:p>
          <w:p w14:paraId="31757A4A">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（1）供应商收到书面采购订单之日起一般产品7天内运送至指定地点，并承担由此产生的全部费用。</w:t>
            </w:r>
          </w:p>
          <w:p w14:paraId="6E0ABAF0">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（2）配送的品种、数量和时间以采购订单为准，配送时应向我方提供符合国家税法规定的正规发票、加盖公章的发货单（不少于三联）、产品合格证、质量合格证、该批货物的质检报告等资质或证明文件。</w:t>
            </w:r>
          </w:p>
        </w:tc>
        <w:tc>
          <w:tcPr>
            <w:tcW w:w="1485" w:type="dxa"/>
            <w:vAlign w:val="center"/>
          </w:tcPr>
          <w:p w14:paraId="35BEBB46">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40" w:type="dxa"/>
            <w:vAlign w:val="center"/>
          </w:tcPr>
          <w:p w14:paraId="16978371">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保证供货及时，不影响实验进度</w:t>
            </w:r>
          </w:p>
        </w:tc>
      </w:tr>
      <w:tr w14:paraId="429B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77" w:type="dxa"/>
            <w:vAlign w:val="center"/>
          </w:tcPr>
          <w:p w14:paraId="52B42120">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4</w:t>
            </w:r>
          </w:p>
        </w:tc>
        <w:tc>
          <w:tcPr>
            <w:tcW w:w="11353" w:type="dxa"/>
            <w:vAlign w:val="center"/>
          </w:tcPr>
          <w:p w14:paraId="71C03892">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验收质量标准：</w:t>
            </w:r>
          </w:p>
          <w:p w14:paraId="76B2AD4B">
            <w:pPr>
              <w:numPr>
                <w:ilvl w:val="0"/>
                <w:numId w:val="1"/>
              </w:numPr>
              <w:spacing w:line="360" w:lineRule="exact"/>
              <w:jc w:val="left"/>
              <w:rPr>
                <w:rFonts w:cs="华文中宋" w:asciiTheme="minorEastAsia" w:hAnsiTheme="minorEastAsia"/>
                <w:kern w:val="0"/>
                <w:szCs w:val="21"/>
              </w:rPr>
            </w:pPr>
            <w:r>
              <w:rPr>
                <w:rFonts w:hint="eastAsia" w:cs="华文中宋" w:asciiTheme="minorEastAsia" w:hAnsiTheme="minorEastAsia"/>
                <w:kern w:val="0"/>
                <w:szCs w:val="21"/>
              </w:rPr>
              <w:t>提供的产品须符合质量标准且与采购订单的产品信息一致；交付的产品的有效期必须不少于12个月且不得少于整个产品有效期的2/3，特殊品种另行协商；提供的产品包装完好、无破损。</w:t>
            </w:r>
          </w:p>
          <w:p w14:paraId="44713884">
            <w:pPr>
              <w:numPr>
                <w:ilvl w:val="0"/>
                <w:numId w:val="1"/>
              </w:num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供应商必须保证提供该批货物的产品合格证、质量合格证、质检报告等资质或证明文件等内容；</w:t>
            </w:r>
          </w:p>
        </w:tc>
        <w:tc>
          <w:tcPr>
            <w:tcW w:w="1485" w:type="dxa"/>
            <w:vAlign w:val="center"/>
          </w:tcPr>
          <w:p w14:paraId="6A50B9CF">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40" w:type="dxa"/>
            <w:vAlign w:val="center"/>
          </w:tcPr>
          <w:p w14:paraId="53AA690E">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保证产品质量</w:t>
            </w:r>
          </w:p>
        </w:tc>
      </w:tr>
      <w:tr w14:paraId="7522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77" w:type="dxa"/>
            <w:vAlign w:val="center"/>
          </w:tcPr>
          <w:p w14:paraId="219BDA96">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5</w:t>
            </w:r>
          </w:p>
        </w:tc>
        <w:tc>
          <w:tcPr>
            <w:tcW w:w="11353" w:type="dxa"/>
            <w:vAlign w:val="center"/>
          </w:tcPr>
          <w:p w14:paraId="019CF6B0">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违约责任：</w:t>
            </w:r>
          </w:p>
          <w:p w14:paraId="4F1BC635">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（1）供应商应对不符合要求的产品（如不符合质量</w:t>
            </w:r>
            <w:r>
              <w:rPr>
                <w:rFonts w:hint="eastAsia" w:cs="华文中宋" w:asciiTheme="minorEastAsia" w:hAnsiTheme="minorEastAsia"/>
                <w:color w:val="000000"/>
                <w:kern w:val="0"/>
                <w:szCs w:val="21"/>
                <w:lang w:eastAsia="zh-CN"/>
              </w:rPr>
              <w:t>标准</w:t>
            </w:r>
            <w:r>
              <w:rPr>
                <w:rFonts w:hint="eastAsia" w:cs="华文中宋" w:asciiTheme="minorEastAsia" w:hAnsiTheme="minorEastAsia"/>
                <w:color w:val="000000"/>
                <w:kern w:val="0"/>
                <w:szCs w:val="21"/>
              </w:rPr>
              <w:t>、有效期、包装和订单数量要求及破损的产品等）在15日内进行更换，更换过程产生的相关费用由供应商承担；同时不得影响我</w:t>
            </w:r>
            <w:r>
              <w:rPr>
                <w:rFonts w:hint="eastAsia" w:cs="华文中宋" w:asciiTheme="minorEastAsia" w:hAnsiTheme="minorEastAsia"/>
                <w:color w:val="000000"/>
                <w:kern w:val="0"/>
                <w:szCs w:val="21"/>
                <w:lang w:val="en-US" w:eastAsia="zh-CN"/>
              </w:rPr>
              <w:t>所</w:t>
            </w:r>
            <w:r>
              <w:rPr>
                <w:rFonts w:hint="eastAsia" w:cs="华文中宋" w:asciiTheme="minorEastAsia" w:hAnsiTheme="minorEastAsia"/>
                <w:color w:val="000000"/>
                <w:kern w:val="0"/>
                <w:szCs w:val="21"/>
              </w:rPr>
              <w:t>的临床应用或其他使用。</w:t>
            </w:r>
            <w:bookmarkStart w:id="0" w:name="_GoBack"/>
            <w:bookmarkEnd w:id="0"/>
          </w:p>
          <w:p w14:paraId="06DEF201">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 xml:space="preserve">（2）所提供产品不符合质量标准的，我方有权要求退货且无需支付货款。退货过程产生的相关费用由供应商承担。如我方已支付该部分货款的，供应商应当于我方提出退货要求之日起七日内予以退还。     </w:t>
            </w:r>
          </w:p>
          <w:p w14:paraId="738B3FA9">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供应商应证照齐全且有备案，如不符合要求的情况（如运输、储存方面条款不符合要求等）被上级监管部门查处，我方有权拒绝合作。供应商应对不符合要求的条款根据相关查处部门的要求进行整改，整改过程产生的相关费用由供应商承担；同时不得影响我方的临床应用或其他使用。</w:t>
            </w:r>
          </w:p>
        </w:tc>
        <w:tc>
          <w:tcPr>
            <w:tcW w:w="1485" w:type="dxa"/>
            <w:vAlign w:val="center"/>
          </w:tcPr>
          <w:p w14:paraId="3336C16D">
            <w:pPr>
              <w:spacing w:line="360" w:lineRule="exact"/>
              <w:jc w:val="center"/>
              <w:rPr>
                <w:rFonts w:cs="华文中宋" w:asciiTheme="minorEastAsia" w:hAnsiTheme="minorEastAsia"/>
                <w:color w:val="000000"/>
                <w:kern w:val="0"/>
                <w:sz w:val="13"/>
                <w:szCs w:val="13"/>
              </w:rPr>
            </w:pPr>
          </w:p>
        </w:tc>
        <w:tc>
          <w:tcPr>
            <w:tcW w:w="2340" w:type="dxa"/>
            <w:vAlign w:val="center"/>
          </w:tcPr>
          <w:p w14:paraId="2AA2ABC5">
            <w:pPr>
              <w:spacing w:line="360" w:lineRule="exact"/>
              <w:jc w:val="center"/>
              <w:rPr>
                <w:rFonts w:cs="华文中宋" w:asciiTheme="minorEastAsia" w:hAnsiTheme="minorEastAsia"/>
                <w:color w:val="000000"/>
                <w:kern w:val="0"/>
                <w:sz w:val="13"/>
                <w:szCs w:val="13"/>
              </w:rPr>
            </w:pPr>
          </w:p>
        </w:tc>
      </w:tr>
    </w:tbl>
    <w:p w14:paraId="5BF5D251">
      <w:pPr>
        <w:jc w:val="left"/>
        <w:rPr>
          <w:rFonts w:cs="华文中宋" w:asciiTheme="minorEastAsia" w:hAnsiTheme="minorEastAsia"/>
          <w:color w:val="000000"/>
          <w:kern w:val="0"/>
          <w:sz w:val="28"/>
          <w:szCs w:val="28"/>
        </w:rPr>
      </w:pPr>
    </w:p>
    <w:p w14:paraId="6AD75DA5">
      <w:pPr>
        <w:jc w:val="left"/>
        <w:rPr>
          <w:rFonts w:cs="华文中宋" w:asciiTheme="minorEastAsia" w:hAnsiTheme="minorEastAsia"/>
          <w:color w:val="000000"/>
          <w:kern w:val="0"/>
          <w:sz w:val="28"/>
          <w:szCs w:val="28"/>
        </w:rPr>
      </w:pPr>
    </w:p>
    <w:p w14:paraId="30A1F3FF">
      <w:pPr>
        <w:jc w:val="left"/>
        <w:rPr>
          <w:rFonts w:cs="华文中宋" w:asciiTheme="minorEastAsia" w:hAnsiTheme="minorEastAsia"/>
          <w:color w:val="000000"/>
          <w:kern w:val="0"/>
          <w:sz w:val="28"/>
          <w:szCs w:val="28"/>
        </w:rPr>
      </w:pPr>
    </w:p>
    <w:p w14:paraId="2403BBDA">
      <w:pPr>
        <w:jc w:val="left"/>
        <w:rPr>
          <w:rFonts w:cs="华文中宋" w:asciiTheme="minorEastAsia" w:hAnsiTheme="minorEastAsia"/>
          <w:color w:val="000000"/>
          <w:kern w:val="0"/>
          <w:sz w:val="28"/>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4604"/>
        <w:gridCol w:w="1621"/>
        <w:gridCol w:w="732"/>
        <w:gridCol w:w="2955"/>
        <w:gridCol w:w="933"/>
        <w:gridCol w:w="1522"/>
        <w:gridCol w:w="987"/>
        <w:gridCol w:w="1541"/>
      </w:tblGrid>
      <w:tr w14:paraId="7DD3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73D6">
            <w:pPr>
              <w:keepNext w:val="0"/>
              <w:keepLines w:val="0"/>
              <w:widowControl/>
              <w:suppressLineNumbers w:val="0"/>
              <w:jc w:val="center"/>
              <w:textAlignment w:val="center"/>
              <w:rPr>
                <w:rFonts w:hint="eastAsia" w:ascii="宋体" w:hAnsi="宋体" w:eastAsia="宋体" w:cs="宋体"/>
                <w:b/>
                <w:bCs/>
                <w:i w:val="0"/>
                <w:iCs w:val="0"/>
                <w:color w:val="000000"/>
                <w:sz w:val="36"/>
                <w:szCs w:val="36"/>
                <w:u w:val="single"/>
              </w:rPr>
            </w:pPr>
            <w:r>
              <w:rPr>
                <w:rFonts w:hint="eastAsia" w:ascii="宋体" w:hAnsi="宋体" w:eastAsia="宋体" w:cs="宋体"/>
                <w:b/>
                <w:bCs/>
                <w:i w:val="0"/>
                <w:iCs w:val="0"/>
                <w:color w:val="000000"/>
                <w:kern w:val="0"/>
                <w:sz w:val="36"/>
                <w:szCs w:val="36"/>
                <w:u w:val="single"/>
                <w:lang w:val="en-US" w:eastAsia="zh-CN" w:bidi="ar"/>
              </w:rPr>
              <w:t>实验耗材采购项目明细表</w:t>
            </w:r>
          </w:p>
        </w:tc>
      </w:tr>
      <w:tr w14:paraId="5D42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B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9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9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参考品牌</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B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质量标准</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F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5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A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4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18"/>
                <w:szCs w:val="18"/>
                <w:u w:val="none"/>
                <w:lang w:val="en-US" w:eastAsia="zh-CN" w:bidi="ar"/>
              </w:rPr>
              <w:t>预计数量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D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14:paraId="7354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0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9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比色管架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F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4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1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亚克力2*6孔（孔径26mm）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A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D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D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E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4725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2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E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双圈定性滤纸</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6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A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A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12.5cm/中速/100张/盒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5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3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2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3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2ACB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B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B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单标移液管刷</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A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4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6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 羊毛刷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E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4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1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A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14:paraId="462E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7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F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容量瓶刷</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1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7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3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 羊毛刷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B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E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C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E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r>
      <w:tr w14:paraId="3B41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2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D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量筒刷</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C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7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5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 羊毛刷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5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3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9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A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479D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3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1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2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A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A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 羊毛刷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E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D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2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F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14:paraId="3721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B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A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吸耳球</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A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B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4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中号耐酸碱</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8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3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7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7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4295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B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D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称量纸</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5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D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48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90*90mm/200张/件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B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6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1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0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r>
      <w:tr w14:paraId="13E6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7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2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不锈钢药勺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C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9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3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20cm 单头</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B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B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C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1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716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0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2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塑料一次性吸管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8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7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1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3ml 100支/包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1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6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E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7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r>
      <w:tr w14:paraId="7929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4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B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蓝色双顶丝十字夹</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2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7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C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十字夹</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2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7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4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6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278E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2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5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实验烧瓶夹三爪夹</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7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C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D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大号</w:t>
            </w:r>
            <w:r>
              <w:rPr>
                <w:rStyle w:val="47"/>
                <w:lang w:val="en-US" w:eastAsia="zh-CN" w:bidi="ar"/>
              </w:rPr>
              <w:t xml:space="preserve"> 三爪夹</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3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0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8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7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14:paraId="26FE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A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1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9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3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1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内径*外径：7mm*10mm；软管；透明无味</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B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3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9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C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62A1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0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A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酒精比重计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5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4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9F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0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7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6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1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2AF6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E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9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7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D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红水0-100*30cm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9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8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0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4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4ED6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E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E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密封袋</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5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A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D1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20*30cm（14丝加厚白边）/100个/包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A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6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0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D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477B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8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E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密封袋</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5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8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4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35*24cm（14丝加厚白边）/100个/包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1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D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F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5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14:paraId="0791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C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9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水相过滤膜</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2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津腾</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3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92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0.22微米50片/盒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A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6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4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6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r>
      <w:tr w14:paraId="1FC8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C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5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有机针式微孔滤膜</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A7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津腾</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A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D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0.22微米100个/盒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A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F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D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7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r>
      <w:tr w14:paraId="3F6A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0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1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玻璃干燥器</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5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8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90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F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9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1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D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r>
      <w:tr w14:paraId="0CC8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F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4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变色硅胶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8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9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3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7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9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8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3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r>
      <w:tr w14:paraId="6993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6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C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移液枪架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4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B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2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Z型</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7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1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C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8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4D56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B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2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石蕊试纸</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D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D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4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C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C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D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8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F66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B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9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PH试纸</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8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7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C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100条/包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5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C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5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3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AAB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5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F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移液枪头</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B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B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E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1000ul 500支/包，适配赛默飞品牌移液枪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7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1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C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B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60C0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3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B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移液枪头</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B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B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48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10ml </w:t>
            </w:r>
            <w:r>
              <w:rPr>
                <w:rStyle w:val="47"/>
                <w:lang w:val="en-US" w:eastAsia="zh-CN" w:bidi="ar"/>
              </w:rPr>
              <w:t xml:space="preserve"> 100支/包，适配赛默飞品牌移液枪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E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F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2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0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4E1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A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B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枪头盒</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1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F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0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1000ul适配赛默飞品牌移液枪头</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5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A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A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8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359C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B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C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进样瓶+盖+垫</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6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1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9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100套/盒</w:t>
            </w:r>
            <w:r>
              <w:rPr>
                <w:rStyle w:val="47"/>
                <w:lang w:val="en-US" w:eastAsia="zh-CN" w:bidi="ar"/>
              </w:rPr>
              <w:t xml:space="preserve"> 适配岛津</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3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D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E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F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14:paraId="417F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E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2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恒温恒湿布</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2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D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C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长100mm，宽50mm 10片/包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D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B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D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3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32CE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E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压差表</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0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E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29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0-60pa</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7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C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D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B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w:t>
            </w:r>
          </w:p>
        </w:tc>
      </w:tr>
      <w:tr w14:paraId="02D3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7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2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加厚棉手套</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B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1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9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4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9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4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0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14:paraId="2CDA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0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D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塑料量杯（带柄）</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2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6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B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1000ml量杯；加厚材质；双面刻度清晰；耐酸碱</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8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F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0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2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3DF4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4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6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塑料量杯（带柄）</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0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5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7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5000ml量杯；加厚材质；双面刻度清晰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B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4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F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3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411C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B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F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搪瓷桶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8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5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80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50cm无水嘴（96L）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A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7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6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7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14:paraId="5C77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8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F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无菌即用水样采集袋</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B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1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12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250ml，10个/包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B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7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8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1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14:paraId="0DC7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F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0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实验室电炉</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7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F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0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加热盘19cm;可调封闭式</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C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B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B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D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14:paraId="3482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2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0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玻璃搅拌棒</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C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9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E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直径2.5cm长90cm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F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6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F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A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14:paraId="1422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2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5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6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A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E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0.5ml </w:t>
            </w:r>
            <w:r>
              <w:rPr>
                <w:rStyle w:val="47"/>
                <w:lang w:val="en-US" w:eastAsia="zh-CN" w:bidi="ar"/>
              </w:rPr>
              <w:t xml:space="preserve">  A级可过检</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C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9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9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1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14:paraId="6D96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8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5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B3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4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40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1ml </w:t>
            </w:r>
            <w:r>
              <w:rPr>
                <w:rStyle w:val="47"/>
                <w:lang w:val="en-US" w:eastAsia="zh-CN" w:bidi="ar"/>
              </w:rPr>
              <w:t xml:space="preserve">  A级可过检</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7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8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0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8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14:paraId="732E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F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F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刻度移液管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F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9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D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2ml </w:t>
            </w:r>
            <w:r>
              <w:rPr>
                <w:rStyle w:val="47"/>
                <w:lang w:val="en-US" w:eastAsia="zh-CN" w:bidi="ar"/>
              </w:rPr>
              <w:t xml:space="preserve"> A级可过检</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5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0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2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2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14:paraId="5274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B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5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5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4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DE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2ml </w:t>
            </w:r>
            <w:r>
              <w:rPr>
                <w:rStyle w:val="47"/>
                <w:lang w:val="en-US" w:eastAsia="zh-CN" w:bidi="ar"/>
              </w:rPr>
              <w:t xml:space="preserve"> A级可过检</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4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F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9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2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r>
      <w:tr w14:paraId="7B58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7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F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1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9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1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5ml </w:t>
            </w:r>
            <w:r>
              <w:rPr>
                <w:rStyle w:val="47"/>
                <w:lang w:val="en-US" w:eastAsia="zh-CN" w:bidi="ar"/>
              </w:rPr>
              <w:t xml:space="preserve"> A级可过检</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E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4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3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1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r>
      <w:tr w14:paraId="7A56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6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2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3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E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F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 A级可过检</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E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7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6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B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34D9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6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7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D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9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7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15ml </w:t>
            </w:r>
            <w:r>
              <w:rPr>
                <w:rStyle w:val="47"/>
                <w:lang w:val="en-US" w:eastAsia="zh-CN" w:bidi="ar"/>
              </w:rPr>
              <w:t xml:space="preserve"> A级可过检</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9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C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F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D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4EAE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E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0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单标移液管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3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3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A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25ml </w:t>
            </w:r>
            <w:r>
              <w:rPr>
                <w:rStyle w:val="47"/>
                <w:lang w:val="en-US" w:eastAsia="zh-CN" w:bidi="ar"/>
              </w:rPr>
              <w:t xml:space="preserve"> A级可过检</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E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E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C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8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7441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F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8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B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D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EF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 A级可过检</w:t>
            </w:r>
            <w:r>
              <w:rPr>
                <w:rStyle w:val="47"/>
                <w:lang w:val="en-US" w:eastAsia="zh-CN" w:bidi="ar"/>
              </w:rPr>
              <w:t xml:space="preserve"> 透明</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7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5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4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8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14:paraId="52B5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1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7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8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6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5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 A级可过检</w:t>
            </w:r>
            <w:r>
              <w:rPr>
                <w:rStyle w:val="47"/>
                <w:lang w:val="en-US" w:eastAsia="zh-CN" w:bidi="ar"/>
              </w:rPr>
              <w:t xml:space="preserve"> 透明</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B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9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4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D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1925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A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8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碘量瓶</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A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0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6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8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5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4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D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438B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E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2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35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A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3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高硼硅玻璃</w:t>
            </w:r>
            <w:r>
              <w:rPr>
                <w:rStyle w:val="47"/>
                <w:lang w:val="en-US" w:eastAsia="zh-CN" w:bidi="ar"/>
              </w:rPr>
              <w:t xml:space="preserve"> 耐高温</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2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4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7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D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r>
      <w:tr w14:paraId="5617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F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B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F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6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93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 高硼硅玻璃</w:t>
            </w:r>
            <w:r>
              <w:rPr>
                <w:rStyle w:val="47"/>
                <w:lang w:val="en-US" w:eastAsia="zh-CN" w:bidi="ar"/>
              </w:rPr>
              <w:t xml:space="preserve"> 耐高温</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F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9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D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5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r>
      <w:tr w14:paraId="030B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F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E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9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0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1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 高硼硅玻璃</w:t>
            </w:r>
            <w:r>
              <w:rPr>
                <w:rStyle w:val="47"/>
                <w:lang w:val="en-US" w:eastAsia="zh-CN" w:bidi="ar"/>
              </w:rPr>
              <w:t xml:space="preserve"> 耐高温</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5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F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7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3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14:paraId="7AE3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2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D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3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3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9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1000ml带柄</w:t>
            </w:r>
            <w:r>
              <w:rPr>
                <w:rStyle w:val="47"/>
                <w:lang w:val="en-US" w:eastAsia="zh-CN" w:bidi="ar"/>
              </w:rPr>
              <w:t xml:space="preserve"> 高硼硅玻璃 耐高温</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B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3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0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6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1B99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4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C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2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4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5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5000ml 高硼硅玻璃</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1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C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F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E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r>
      <w:tr w14:paraId="76A8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C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7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具塞锥形瓶</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A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D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8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耐高温</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E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8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6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6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r>
      <w:tr w14:paraId="7753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8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E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A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E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6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F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7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C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14:paraId="1AB1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A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3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磨砂玻璃试剂瓶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4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9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6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透明/茶色</w:t>
            </w:r>
            <w:r>
              <w:rPr>
                <w:rStyle w:val="47"/>
                <w:lang w:val="en-US" w:eastAsia="zh-CN" w:bidi="ar"/>
              </w:rPr>
              <w:t xml:space="preserve"> 广口/小口</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4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3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2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1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14:paraId="0168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7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4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玻璃称量舟</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C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1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1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0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1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A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D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5DBE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E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9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称量瓶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2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B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E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25mm*40mm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6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C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D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D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509F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4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3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玻璃滴瓶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A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1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C6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8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F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C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6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r w14:paraId="4D1E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6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1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玻璃球形冷凝管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C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6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35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400mm 24*24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3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1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9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14:paraId="605A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C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6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玻璃连接管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A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E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0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4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E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7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B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28EF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9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D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牛角管（弯型接收）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A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9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7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6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F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C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4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7C04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D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B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PH缓冲液</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C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9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B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适合雷磁，PH6.86</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4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B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5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1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14:paraId="723D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2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1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电极补充液</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1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2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40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雷磁3MOL/L氯化钾，250ml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6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2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8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8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14:paraId="541D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A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5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电导率仪标准液</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D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F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5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适合雷磁（84us/ms）</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3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E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E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E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14:paraId="0786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A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A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C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F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2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15*100mm 耐高温高压</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E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E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F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3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4551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D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6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9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2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4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18*150mm 耐高温高压</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2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8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D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2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14:paraId="1ED7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2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5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4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A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82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20*150mm 耐高温高压</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3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C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B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1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D23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F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6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一次性灭菌培养皿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7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E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D1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90mm 10套/包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7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7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4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3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6B6E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8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B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不锈钢酒精灯</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E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2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400ml加厚螺旋口</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F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E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8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2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1C13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C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2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不锈钢丝试管架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0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2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6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21mm*40孔</w:t>
            </w:r>
            <w:r>
              <w:rPr>
                <w:rStyle w:val="47"/>
                <w:lang w:val="en-US" w:eastAsia="zh-CN" w:bidi="ar"/>
              </w:rPr>
              <w:t xml:space="preserve"> 钢丝方孔</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F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7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4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A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r>
      <w:tr w14:paraId="0E6A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E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1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三角瓶硅胶塞</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2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0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2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5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C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6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4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D8B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F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4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三角瓶硅胶塞</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7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9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6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8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E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3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9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465F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0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9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试管硅胶塞</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1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5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C4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15*120mm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4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1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C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3E41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A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F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试管硅胶塞</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E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D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2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18*150mm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8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3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6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8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D6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8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A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试管硅胶塞</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0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8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98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20*150mm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F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0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9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C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3E11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4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4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一次性接种环</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0E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Biologix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7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FF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1ul </w:t>
            </w:r>
            <w:r>
              <w:rPr>
                <w:rStyle w:val="47"/>
                <w:lang w:val="en-US" w:eastAsia="zh-CN" w:bidi="ar"/>
              </w:rPr>
              <w:t xml:space="preserve">  25支/包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F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6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5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B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r>
      <w:tr w14:paraId="38DB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5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6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一次性接种环</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FB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Biologix</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3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4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10ul 25支/包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7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C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1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E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r>
      <w:tr w14:paraId="2115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0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7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塑料摇菌管（灭菌独立包装）</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1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F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5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12ml 100支/包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6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2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8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1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3FEF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F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0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1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7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7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9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3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6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4D5D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7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4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耐高温耐高压橡皮筋</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B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E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E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500g/包</w:t>
            </w:r>
            <w:r>
              <w:rPr>
                <w:rStyle w:val="47"/>
                <w:lang w:val="en-US" w:eastAsia="zh-CN" w:bidi="ar"/>
              </w:rPr>
              <w:t xml:space="preserve"> 对折6cm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5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B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5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E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58DA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B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9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器具消毒盒</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5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A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5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E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1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E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7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0DC7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9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2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S60微生物检测培养器</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8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泰林</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0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EB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S60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B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8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1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9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6F5B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2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7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F47/F47-R250滤杯</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7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5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E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（Φ47mm微孔滤膜）</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E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0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3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6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7619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9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C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无菌滤膜</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DF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9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6C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200片/包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4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F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E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4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5903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F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D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枪头盒</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E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6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3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B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0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7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5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76FA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2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4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平皿清洗刷</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4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9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8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0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E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0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F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73C3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3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0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防水牛皮纸</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1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6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6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60*120CM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9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D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2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A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43AA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5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1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不锈钢试管消毒筐（方形）</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D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8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A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100*100*100mm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5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6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9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6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14:paraId="6003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7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3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手提塑料水桶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E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E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6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1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E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A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1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0A44B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4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8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刻度长桶移液灭菌桶（不锈钢）</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8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5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6D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63*355mm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6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D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E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D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w:t>
            </w:r>
          </w:p>
        </w:tc>
      </w:tr>
      <w:tr w14:paraId="4D6F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E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5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培养皿不锈钢消毒桶</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4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B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D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107*245mm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4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7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D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7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r>
      <w:tr w14:paraId="2BE9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4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7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冻存管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D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0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F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F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B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E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0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4C61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3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A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冻存管盒</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F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8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1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5ml*36孔</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8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6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4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2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3D9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3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1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独立灭菌装塑料滴管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9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比克曼</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9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E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1ml </w:t>
            </w:r>
            <w:r>
              <w:rPr>
                <w:rStyle w:val="47"/>
                <w:lang w:val="en-US" w:eastAsia="zh-CN" w:bidi="ar"/>
              </w:rPr>
              <w:t xml:space="preserve">  100支/包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0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8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D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A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14:paraId="5A5D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7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F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独立灭菌装塑料滴管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A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比克曼</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9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B1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10ml </w:t>
            </w:r>
            <w:r>
              <w:rPr>
                <w:rStyle w:val="47"/>
                <w:lang w:val="en-US" w:eastAsia="zh-CN" w:bidi="ar"/>
              </w:rPr>
              <w:t xml:space="preserve"> 100支/包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2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6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1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0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0503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7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6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玻璃培养皿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8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5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0C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加厚耐高温；直径90mm；高透光率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2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6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8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9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6DF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6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9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玻璃涂布棒</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3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1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B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35mm*170mm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9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2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A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B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0D2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0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9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一次性L型塑料涂布棒</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4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比克曼</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8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5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无菌包装5支装，250支/包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3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C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4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E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14:paraId="13FE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2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7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金黄色葡萄球菌二代斜面菌种</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E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3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2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CMCC(B)26003</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4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2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3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C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14:paraId="4C4C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F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F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铜绿假单胞菌二代斜面菌种</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0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8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F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CMCC(B)10104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7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C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2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5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7AF0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9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1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枯草芽孢杆菌二代斜面菌种</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C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0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6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CMCC(B)63501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1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9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7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F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6FDEA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C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2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广口三角烧瓶</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0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1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D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E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A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D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1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379D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A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2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直口大口三角烧瓶</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F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蜀牛/北玻</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A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3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 耐高温</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B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E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F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9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1DFF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0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C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三角瓶硅胶塞</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5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9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5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E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1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0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1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4D5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C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3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PH7.0氯化钠-蛋白胨缓冲液</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E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环凯/陆桥</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C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8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8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B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3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2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r>
      <w:tr w14:paraId="0443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C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5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胰酪大豆胨琼脂培养基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E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环凯/陆桥</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F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3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5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4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B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6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14:paraId="68F2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5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D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胰酪大豆胨液体培养基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B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环凯/陆桥</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7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9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C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F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5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6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r>
      <w:tr w14:paraId="499E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6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C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沙氏葡萄糖琼脂培养基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5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环凯/陆桥</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B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A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2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C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4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C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5DDE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B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6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R2A琼脂培养基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D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环凯/陆桥</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0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1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4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2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0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7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r>
      <w:tr w14:paraId="165E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4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C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甘露醇氯化钠琼脂培养基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7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环凯/陆桥</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B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8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A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F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0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3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r>
      <w:tr w14:paraId="65A3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3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2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溴化十六烷基三甲铵琼脂培养基基础</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A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环凯/陆桥</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2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C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4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8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5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5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6136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8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2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即用型沙氏葡萄糖琼脂培养基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4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B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D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20皿/包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E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1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D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A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121D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7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6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即用型R2A琼脂培养基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F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2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B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20皿/包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7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B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0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4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r>
      <w:tr w14:paraId="0F6E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2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3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即用型甘露醇氯化钠琼脂培养基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4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B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8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10皿/包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C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5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C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3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r>
      <w:tr w14:paraId="0070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F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8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即用型溴化十六烷基三甲铵琼脂培养基基础</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C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1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0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20皿/包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E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2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7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3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r>
      <w:tr w14:paraId="62F8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F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8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即用型胰酪大豆胨琼脂（TSA）平皿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7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C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7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20皿/包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0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2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F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9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r>
      <w:tr w14:paraId="5D6A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3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8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即用型胰酪大豆胨琼脂（TSA）平皿</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3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5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8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20皿/包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9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3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D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F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05F4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7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5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无尘毛巾</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6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4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6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30cm*30cm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1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E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F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4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ECC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1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2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316不锈钢挖馅勺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A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2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A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16cm*2.2cm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6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4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8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8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2344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C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4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接种针</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D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E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1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0.5mm/环经2mm，镍铬耐热合金</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1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3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6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6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35CB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6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7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接种棒+（环）</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6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D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3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全铜接种棒，镍铬耐热合金接种环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3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1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B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D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r>
      <w:tr w14:paraId="08D5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51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7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F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9960</w:t>
            </w:r>
          </w:p>
        </w:tc>
      </w:tr>
    </w:tbl>
    <w:p w14:paraId="196F81DD">
      <w:pPr>
        <w:adjustRightInd w:val="0"/>
        <w:snapToGrid w:val="0"/>
        <w:jc w:val="center"/>
        <w:rPr>
          <w:rFonts w:ascii="华文中宋" w:hAnsi="华文中宋" w:eastAsia="华文中宋" w:cs="华文中宋"/>
          <w:color w:val="000000"/>
          <w:kern w:val="0"/>
          <w:sz w:val="28"/>
          <w:szCs w:val="28"/>
        </w:rPr>
      </w:pPr>
    </w:p>
    <w:sectPr>
      <w:footerReference r:id="rId3" w:type="default"/>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9F1E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035C8">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B035C8">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E9D16"/>
    <w:multiLevelType w:val="singleLevel"/>
    <w:tmpl w:val="723E9D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ZmI2NzYxZGVmZTVjZmRjOTJhZTlmYTYwYTAzNGQifQ=="/>
  </w:docVars>
  <w:rsids>
    <w:rsidRoot w:val="72D867EB"/>
    <w:rsid w:val="00007D67"/>
    <w:rsid w:val="000616C0"/>
    <w:rsid w:val="00072504"/>
    <w:rsid w:val="00093C35"/>
    <w:rsid w:val="00117D9C"/>
    <w:rsid w:val="0012180E"/>
    <w:rsid w:val="00132686"/>
    <w:rsid w:val="0015377B"/>
    <w:rsid w:val="001A6821"/>
    <w:rsid w:val="001C0E13"/>
    <w:rsid w:val="001D50EF"/>
    <w:rsid w:val="001D704A"/>
    <w:rsid w:val="001F05C4"/>
    <w:rsid w:val="00206A3C"/>
    <w:rsid w:val="002155F5"/>
    <w:rsid w:val="00217449"/>
    <w:rsid w:val="00226551"/>
    <w:rsid w:val="00240253"/>
    <w:rsid w:val="002510B0"/>
    <w:rsid w:val="00254DD0"/>
    <w:rsid w:val="00285463"/>
    <w:rsid w:val="002A439C"/>
    <w:rsid w:val="002A7279"/>
    <w:rsid w:val="002C1F3B"/>
    <w:rsid w:val="002D6652"/>
    <w:rsid w:val="00300915"/>
    <w:rsid w:val="003023A4"/>
    <w:rsid w:val="00337AB0"/>
    <w:rsid w:val="003837A5"/>
    <w:rsid w:val="003919DB"/>
    <w:rsid w:val="003A1A77"/>
    <w:rsid w:val="003B09CD"/>
    <w:rsid w:val="003B7FF9"/>
    <w:rsid w:val="003E2D58"/>
    <w:rsid w:val="00407808"/>
    <w:rsid w:val="004A270B"/>
    <w:rsid w:val="004C35AB"/>
    <w:rsid w:val="004D43C8"/>
    <w:rsid w:val="00504B1A"/>
    <w:rsid w:val="00511D27"/>
    <w:rsid w:val="00516E41"/>
    <w:rsid w:val="005553A9"/>
    <w:rsid w:val="005F19A2"/>
    <w:rsid w:val="00635743"/>
    <w:rsid w:val="006541AF"/>
    <w:rsid w:val="00655D55"/>
    <w:rsid w:val="006730F5"/>
    <w:rsid w:val="0067425F"/>
    <w:rsid w:val="006D44AF"/>
    <w:rsid w:val="00717571"/>
    <w:rsid w:val="00763711"/>
    <w:rsid w:val="007834F9"/>
    <w:rsid w:val="007A7A3B"/>
    <w:rsid w:val="007B7A7E"/>
    <w:rsid w:val="007F664E"/>
    <w:rsid w:val="0080418F"/>
    <w:rsid w:val="00810E66"/>
    <w:rsid w:val="00840432"/>
    <w:rsid w:val="0085251A"/>
    <w:rsid w:val="008574A9"/>
    <w:rsid w:val="00876072"/>
    <w:rsid w:val="008960D4"/>
    <w:rsid w:val="00897D97"/>
    <w:rsid w:val="008A05AC"/>
    <w:rsid w:val="008E5A90"/>
    <w:rsid w:val="008F6A47"/>
    <w:rsid w:val="00913831"/>
    <w:rsid w:val="009300D1"/>
    <w:rsid w:val="00935881"/>
    <w:rsid w:val="009605A2"/>
    <w:rsid w:val="00962575"/>
    <w:rsid w:val="009A457B"/>
    <w:rsid w:val="009E1603"/>
    <w:rsid w:val="00A04710"/>
    <w:rsid w:val="00A12ACD"/>
    <w:rsid w:val="00A4361A"/>
    <w:rsid w:val="00A43C5F"/>
    <w:rsid w:val="00A51174"/>
    <w:rsid w:val="00A520B1"/>
    <w:rsid w:val="00A56B03"/>
    <w:rsid w:val="00A71948"/>
    <w:rsid w:val="00A95D75"/>
    <w:rsid w:val="00B11403"/>
    <w:rsid w:val="00B1678E"/>
    <w:rsid w:val="00B2785E"/>
    <w:rsid w:val="00B97B6F"/>
    <w:rsid w:val="00BA1420"/>
    <w:rsid w:val="00BB7015"/>
    <w:rsid w:val="00BD5905"/>
    <w:rsid w:val="00C24653"/>
    <w:rsid w:val="00C35DF4"/>
    <w:rsid w:val="00C522D7"/>
    <w:rsid w:val="00C83CE7"/>
    <w:rsid w:val="00C918AC"/>
    <w:rsid w:val="00C94878"/>
    <w:rsid w:val="00C94FAB"/>
    <w:rsid w:val="00D15E30"/>
    <w:rsid w:val="00D16CE7"/>
    <w:rsid w:val="00D17D73"/>
    <w:rsid w:val="00D254D0"/>
    <w:rsid w:val="00D6121B"/>
    <w:rsid w:val="00D61952"/>
    <w:rsid w:val="00D6487C"/>
    <w:rsid w:val="00DA4B7F"/>
    <w:rsid w:val="00DA653E"/>
    <w:rsid w:val="00DC65C7"/>
    <w:rsid w:val="00E33B5B"/>
    <w:rsid w:val="00E87766"/>
    <w:rsid w:val="00EE70FA"/>
    <w:rsid w:val="00EE757A"/>
    <w:rsid w:val="00EF07E9"/>
    <w:rsid w:val="00EF5A41"/>
    <w:rsid w:val="00F07D66"/>
    <w:rsid w:val="00F2750F"/>
    <w:rsid w:val="00F7721F"/>
    <w:rsid w:val="00F831B3"/>
    <w:rsid w:val="00F918FE"/>
    <w:rsid w:val="00F91A61"/>
    <w:rsid w:val="00FB16B4"/>
    <w:rsid w:val="00FB2E06"/>
    <w:rsid w:val="05206493"/>
    <w:rsid w:val="05F3658E"/>
    <w:rsid w:val="069A472E"/>
    <w:rsid w:val="07795598"/>
    <w:rsid w:val="07B016B4"/>
    <w:rsid w:val="08894AD9"/>
    <w:rsid w:val="09CE3B57"/>
    <w:rsid w:val="0A1166E8"/>
    <w:rsid w:val="0AD37605"/>
    <w:rsid w:val="0E8B696A"/>
    <w:rsid w:val="143E1FB4"/>
    <w:rsid w:val="14C02885"/>
    <w:rsid w:val="158B4301"/>
    <w:rsid w:val="163E60B0"/>
    <w:rsid w:val="18BD6808"/>
    <w:rsid w:val="194100FE"/>
    <w:rsid w:val="1B0A1FCA"/>
    <w:rsid w:val="1B8423A0"/>
    <w:rsid w:val="1BB65681"/>
    <w:rsid w:val="1CAF46A6"/>
    <w:rsid w:val="20C56354"/>
    <w:rsid w:val="20E24677"/>
    <w:rsid w:val="22B63B12"/>
    <w:rsid w:val="23A6323E"/>
    <w:rsid w:val="23DF33FD"/>
    <w:rsid w:val="23FD377A"/>
    <w:rsid w:val="244F0582"/>
    <w:rsid w:val="252C4317"/>
    <w:rsid w:val="293522AA"/>
    <w:rsid w:val="29971992"/>
    <w:rsid w:val="2A3C6573"/>
    <w:rsid w:val="2CBC077F"/>
    <w:rsid w:val="2DD25D29"/>
    <w:rsid w:val="2F0B0AD0"/>
    <w:rsid w:val="2F5E3DB9"/>
    <w:rsid w:val="32A16D29"/>
    <w:rsid w:val="331F355F"/>
    <w:rsid w:val="34EC3365"/>
    <w:rsid w:val="366130F3"/>
    <w:rsid w:val="38A96661"/>
    <w:rsid w:val="38B700B0"/>
    <w:rsid w:val="38E10229"/>
    <w:rsid w:val="39D26DCB"/>
    <w:rsid w:val="3A9309F6"/>
    <w:rsid w:val="3E354BA1"/>
    <w:rsid w:val="3EBF4F40"/>
    <w:rsid w:val="3F780492"/>
    <w:rsid w:val="3F9C7899"/>
    <w:rsid w:val="40330901"/>
    <w:rsid w:val="411D1F06"/>
    <w:rsid w:val="413F74EE"/>
    <w:rsid w:val="417552CF"/>
    <w:rsid w:val="441F4EC1"/>
    <w:rsid w:val="447F23C6"/>
    <w:rsid w:val="452F4FBA"/>
    <w:rsid w:val="45310C8A"/>
    <w:rsid w:val="46D5442A"/>
    <w:rsid w:val="4BF71E67"/>
    <w:rsid w:val="4C0851B0"/>
    <w:rsid w:val="4FF5687C"/>
    <w:rsid w:val="504F13C0"/>
    <w:rsid w:val="50A9404C"/>
    <w:rsid w:val="50C836E2"/>
    <w:rsid w:val="53122693"/>
    <w:rsid w:val="539764B0"/>
    <w:rsid w:val="539D47CB"/>
    <w:rsid w:val="53C765EF"/>
    <w:rsid w:val="557B4484"/>
    <w:rsid w:val="55E306BD"/>
    <w:rsid w:val="55F948BB"/>
    <w:rsid w:val="56817849"/>
    <w:rsid w:val="56AD7F74"/>
    <w:rsid w:val="580D2736"/>
    <w:rsid w:val="5983188D"/>
    <w:rsid w:val="5A832F11"/>
    <w:rsid w:val="5BB362BE"/>
    <w:rsid w:val="5C1C621F"/>
    <w:rsid w:val="5F521D35"/>
    <w:rsid w:val="608A65DF"/>
    <w:rsid w:val="632927AA"/>
    <w:rsid w:val="63572473"/>
    <w:rsid w:val="648609C3"/>
    <w:rsid w:val="65FB312B"/>
    <w:rsid w:val="66FA0355"/>
    <w:rsid w:val="67B4345A"/>
    <w:rsid w:val="696A1B86"/>
    <w:rsid w:val="6C9C5534"/>
    <w:rsid w:val="6F693A06"/>
    <w:rsid w:val="6FBC41EA"/>
    <w:rsid w:val="6FC40458"/>
    <w:rsid w:val="700E51AA"/>
    <w:rsid w:val="70E759A6"/>
    <w:rsid w:val="71147FD5"/>
    <w:rsid w:val="7130048C"/>
    <w:rsid w:val="72D867EB"/>
    <w:rsid w:val="733E7A42"/>
    <w:rsid w:val="74C36EFC"/>
    <w:rsid w:val="7699306E"/>
    <w:rsid w:val="772514A0"/>
    <w:rsid w:val="77F5448F"/>
    <w:rsid w:val="78B75BBA"/>
    <w:rsid w:val="79F44057"/>
    <w:rsid w:val="7A49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semiHidden/>
    <w:unhideWhenUsed/>
    <w:qFormat/>
    <w:uiPriority w:val="99"/>
    <w:rPr>
      <w:color w:val="800080"/>
      <w:u w:val="single"/>
    </w:rPr>
  </w:style>
  <w:style w:type="character" w:styleId="12">
    <w:name w:val="Emphasis"/>
    <w:basedOn w:val="9"/>
    <w:qFormat/>
    <w:uiPriority w:val="0"/>
    <w:rPr>
      <w:i/>
    </w:rPr>
  </w:style>
  <w:style w:type="character" w:styleId="13">
    <w:name w:val="Hyperlink"/>
    <w:basedOn w:val="9"/>
    <w:semiHidden/>
    <w:unhideWhenUsed/>
    <w:qFormat/>
    <w:uiPriority w:val="99"/>
    <w:rPr>
      <w:color w:val="0000FF"/>
      <w:u w:val="single"/>
    </w:rPr>
  </w:style>
  <w:style w:type="character" w:customStyle="1" w:styleId="14">
    <w:name w:val="页眉 Char"/>
    <w:basedOn w:val="9"/>
    <w:link w:val="5"/>
    <w:qFormat/>
    <w:uiPriority w:val="0"/>
    <w:rPr>
      <w:kern w:val="2"/>
      <w:sz w:val="18"/>
      <w:szCs w:val="18"/>
    </w:rPr>
  </w:style>
  <w:style w:type="character" w:customStyle="1" w:styleId="15">
    <w:name w:val="页脚 Char"/>
    <w:basedOn w:val="9"/>
    <w:link w:val="4"/>
    <w:qFormat/>
    <w:uiPriority w:val="0"/>
    <w:rPr>
      <w:kern w:val="2"/>
      <w:sz w:val="18"/>
      <w:szCs w:val="18"/>
    </w:rPr>
  </w:style>
  <w:style w:type="character" w:customStyle="1" w:styleId="16">
    <w:name w:val="批注框文本 Char"/>
    <w:basedOn w:val="9"/>
    <w:link w:val="3"/>
    <w:qFormat/>
    <w:uiPriority w:val="0"/>
    <w:rPr>
      <w:kern w:val="2"/>
      <w:sz w:val="18"/>
      <w:szCs w:val="18"/>
    </w:rPr>
  </w:style>
  <w:style w:type="paragraph" w:customStyle="1" w:styleId="17">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20">
    <w:name w:val="font8"/>
    <w:basedOn w:val="1"/>
    <w:qFormat/>
    <w:uiPriority w:val="0"/>
    <w:pPr>
      <w:widowControl/>
      <w:spacing w:before="100" w:beforeAutospacing="1" w:after="100" w:afterAutospacing="1"/>
      <w:jc w:val="left"/>
    </w:pPr>
    <w:rPr>
      <w:rFonts w:ascii="Times New Roman" w:hAnsi="Times New Roman" w:eastAsia="宋体" w:cs="Times New Roman"/>
      <w:kern w:val="0"/>
      <w:sz w:val="22"/>
      <w:szCs w:val="22"/>
    </w:rPr>
  </w:style>
  <w:style w:type="paragraph" w:customStyle="1" w:styleId="21">
    <w:name w:val="font9"/>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2">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23">
    <w:name w:val="font11"/>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color w:val="000000"/>
      <w:kern w:val="0"/>
      <w:szCs w:val="21"/>
    </w:rPr>
  </w:style>
  <w:style w:type="paragraph" w:customStyle="1" w:styleId="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Cs w:val="21"/>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character" w:customStyle="1" w:styleId="36">
    <w:name w:val="font21"/>
    <w:basedOn w:val="9"/>
    <w:qFormat/>
    <w:uiPriority w:val="0"/>
    <w:rPr>
      <w:rFonts w:hint="default" w:ascii="Times New Roman" w:hAnsi="Times New Roman" w:cs="Times New Roman"/>
      <w:color w:val="000000"/>
      <w:sz w:val="21"/>
      <w:szCs w:val="21"/>
      <w:u w:val="none"/>
    </w:rPr>
  </w:style>
  <w:style w:type="character" w:customStyle="1" w:styleId="37">
    <w:name w:val="font01"/>
    <w:basedOn w:val="9"/>
    <w:qFormat/>
    <w:uiPriority w:val="0"/>
    <w:rPr>
      <w:rFonts w:hint="eastAsia" w:ascii="宋体" w:hAnsi="宋体" w:eastAsia="宋体" w:cs="宋体"/>
      <w:color w:val="000000"/>
      <w:sz w:val="21"/>
      <w:szCs w:val="21"/>
      <w:u w:val="none"/>
    </w:rPr>
  </w:style>
  <w:style w:type="character" w:customStyle="1" w:styleId="38">
    <w:name w:val="font81"/>
    <w:basedOn w:val="9"/>
    <w:qFormat/>
    <w:uiPriority w:val="0"/>
    <w:rPr>
      <w:rFonts w:hint="eastAsia" w:ascii="宋体" w:hAnsi="宋体" w:eastAsia="宋体" w:cs="宋体"/>
      <w:color w:val="333333"/>
      <w:sz w:val="22"/>
      <w:szCs w:val="22"/>
      <w:u w:val="none"/>
    </w:rPr>
  </w:style>
  <w:style w:type="character" w:customStyle="1" w:styleId="39">
    <w:name w:val="font61"/>
    <w:basedOn w:val="9"/>
    <w:qFormat/>
    <w:uiPriority w:val="0"/>
    <w:rPr>
      <w:rFonts w:hint="default" w:ascii="Times New Roman" w:hAnsi="Times New Roman" w:cs="Times New Roman"/>
      <w:color w:val="333333"/>
      <w:sz w:val="22"/>
      <w:szCs w:val="22"/>
      <w:u w:val="none"/>
    </w:rPr>
  </w:style>
  <w:style w:type="character" w:customStyle="1" w:styleId="40">
    <w:name w:val="font51"/>
    <w:basedOn w:val="9"/>
    <w:qFormat/>
    <w:uiPriority w:val="0"/>
    <w:rPr>
      <w:rFonts w:hint="eastAsia" w:ascii="宋体" w:hAnsi="宋体" w:eastAsia="宋体" w:cs="宋体"/>
      <w:color w:val="000000"/>
      <w:sz w:val="22"/>
      <w:szCs w:val="22"/>
      <w:u w:val="none"/>
    </w:rPr>
  </w:style>
  <w:style w:type="character" w:customStyle="1" w:styleId="41">
    <w:name w:val="font41"/>
    <w:basedOn w:val="9"/>
    <w:qFormat/>
    <w:uiPriority w:val="0"/>
    <w:rPr>
      <w:rFonts w:hint="default" w:ascii="Times New Roman" w:hAnsi="Times New Roman" w:cs="Times New Roman"/>
      <w:color w:val="000000"/>
      <w:sz w:val="22"/>
      <w:szCs w:val="22"/>
      <w:u w:val="none"/>
    </w:rPr>
  </w:style>
  <w:style w:type="character" w:customStyle="1" w:styleId="42">
    <w:name w:val="font71"/>
    <w:basedOn w:val="9"/>
    <w:qFormat/>
    <w:uiPriority w:val="0"/>
    <w:rPr>
      <w:rFonts w:hint="default" w:ascii="Times New Roman" w:hAnsi="Times New Roman" w:cs="Times New Roman"/>
      <w:color w:val="000000"/>
      <w:sz w:val="22"/>
      <w:szCs w:val="22"/>
      <w:u w:val="none"/>
    </w:rPr>
  </w:style>
  <w:style w:type="character" w:customStyle="1" w:styleId="43">
    <w:name w:val="font91"/>
    <w:basedOn w:val="9"/>
    <w:qFormat/>
    <w:uiPriority w:val="0"/>
    <w:rPr>
      <w:rFonts w:hint="eastAsia" w:ascii="宋体" w:hAnsi="宋体" w:eastAsia="宋体" w:cs="宋体"/>
      <w:color w:val="333333"/>
      <w:sz w:val="21"/>
      <w:szCs w:val="21"/>
      <w:u w:val="none"/>
    </w:rPr>
  </w:style>
  <w:style w:type="character" w:customStyle="1" w:styleId="44">
    <w:name w:val="font101"/>
    <w:basedOn w:val="9"/>
    <w:qFormat/>
    <w:uiPriority w:val="0"/>
    <w:rPr>
      <w:rFonts w:hint="default" w:ascii="Times New Roman" w:hAnsi="Times New Roman" w:cs="Times New Roman"/>
      <w:color w:val="333333"/>
      <w:sz w:val="21"/>
      <w:szCs w:val="21"/>
      <w:u w:val="none"/>
    </w:rPr>
  </w:style>
  <w:style w:type="character" w:customStyle="1" w:styleId="45">
    <w:name w:val="font112"/>
    <w:basedOn w:val="9"/>
    <w:qFormat/>
    <w:uiPriority w:val="0"/>
    <w:rPr>
      <w:rFonts w:hint="eastAsia" w:ascii="宋体" w:hAnsi="宋体" w:eastAsia="宋体" w:cs="宋体"/>
      <w:color w:val="000000"/>
      <w:sz w:val="21"/>
      <w:szCs w:val="21"/>
      <w:u w:val="none"/>
    </w:rPr>
  </w:style>
  <w:style w:type="character" w:customStyle="1" w:styleId="46">
    <w:name w:val="font121"/>
    <w:basedOn w:val="9"/>
    <w:qFormat/>
    <w:uiPriority w:val="0"/>
    <w:rPr>
      <w:rFonts w:hint="default" w:ascii="Times New Roman" w:hAnsi="Times New Roman" w:cs="Times New Roman"/>
      <w:color w:val="000000"/>
      <w:sz w:val="21"/>
      <w:szCs w:val="21"/>
      <w:u w:val="none"/>
    </w:rPr>
  </w:style>
  <w:style w:type="character" w:customStyle="1" w:styleId="47">
    <w:name w:val="font3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3518</Words>
  <Characters>4638</Characters>
  <Lines>11</Lines>
  <Paragraphs>3</Paragraphs>
  <TotalTime>0</TotalTime>
  <ScaleCrop>false</ScaleCrop>
  <LinksUpToDate>false</LinksUpToDate>
  <CharactersWithSpaces>4706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2021-12-17T04:20:00Z</dcterms:created>
  <dc:creator>陳_CHEN</dc:creator>
  <cp:lastModifiedBy>向日葵</cp:lastModifiedBy>
  <cp:lastPrinted>2021-12-29T00:46:00Z</cp:lastPrinted>
  <dcterms:modified xsi:type="dcterms:W3CDTF">2024-09-11T07:10:22Z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EC331DF49E2548AAAD09D264FDBF2BE2_13</vt:lpwstr>
  </property>
</Properties>
</file>