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lang w:val="en-US" w:eastAsia="zh-Hans"/>
        </w:rPr>
      </w:pPr>
      <w:r>
        <w:br w:type="textWrapping"/>
      </w:r>
    </w:p>
    <w:p>
      <w:pPr>
        <w:pStyle w:val="16"/>
        <w:jc w:val="center"/>
        <w:outlineLvl w:val="0"/>
        <w:rPr>
          <w:rFonts w:hint="eastAsia"/>
          <w:b/>
          <w:sz w:val="48"/>
        </w:rPr>
      </w:pPr>
    </w:p>
    <w:p>
      <w:pPr>
        <w:tabs>
          <w:tab w:val="left" w:pos="420"/>
          <w:tab w:val="left" w:pos="6660"/>
        </w:tabs>
        <w:spacing w:line="1600" w:lineRule="atLeast"/>
        <w:jc w:val="center"/>
        <w:rPr>
          <w:rFonts w:hint="default" w:ascii="仿宋" w:hAnsi="仿宋" w:eastAsia="仿宋" w:cs="仿宋"/>
          <w:b/>
          <w:sz w:val="72"/>
          <w:szCs w:val="72"/>
          <w:lang w:val="en-US" w:eastAsia="zh-CN"/>
        </w:rPr>
      </w:pPr>
      <w:r>
        <w:rPr>
          <w:rFonts w:hint="eastAsia" w:ascii="仿宋" w:hAnsi="仿宋" w:eastAsia="仿宋" w:cs="仿宋"/>
          <w:b/>
          <w:sz w:val="72"/>
          <w:szCs w:val="72"/>
          <w:lang w:val="en-US" w:eastAsia="zh-CN"/>
        </w:rPr>
        <w:t>惠州市皮肤病防治研究所</w:t>
      </w:r>
    </w:p>
    <w:p>
      <w:pPr>
        <w:tabs>
          <w:tab w:val="left" w:pos="420"/>
          <w:tab w:val="left" w:pos="6660"/>
        </w:tabs>
        <w:spacing w:line="1600" w:lineRule="atLeast"/>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议价采购（唯一来源）</w:t>
      </w:r>
    </w:p>
    <w:p>
      <w:pPr>
        <w:tabs>
          <w:tab w:val="left" w:pos="420"/>
          <w:tab w:val="left" w:pos="6660"/>
        </w:tabs>
        <w:spacing w:line="1600" w:lineRule="atLeast"/>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采购文件</w:t>
      </w:r>
    </w:p>
    <w:p>
      <w:pPr>
        <w:pStyle w:val="16"/>
        <w:jc w:val="center"/>
        <w:outlineLvl w:val="2"/>
        <w:rPr>
          <w:b/>
          <w:sz w:val="28"/>
        </w:rPr>
      </w:pPr>
    </w:p>
    <w:p>
      <w:pPr>
        <w:pStyle w:val="16"/>
        <w:jc w:val="center"/>
        <w:outlineLvl w:val="2"/>
        <w:rPr>
          <w:b/>
          <w:sz w:val="28"/>
        </w:rPr>
      </w:pPr>
    </w:p>
    <w:p>
      <w:pPr>
        <w:pStyle w:val="16"/>
        <w:jc w:val="center"/>
        <w:outlineLvl w:val="2"/>
        <w:rPr>
          <w:b/>
          <w:sz w:val="28"/>
        </w:rPr>
      </w:pPr>
      <w:r>
        <w:rPr>
          <w:b/>
          <w:sz w:val="28"/>
        </w:rPr>
        <w:t>项目名称：</w:t>
      </w:r>
      <w:r>
        <w:rPr>
          <w:rFonts w:hint="eastAsia"/>
          <w:b/>
          <w:sz w:val="28"/>
        </w:rPr>
        <w:t>医用气体配送及氧气瓶检测服务采购项目</w:t>
      </w:r>
    </w:p>
    <w:p>
      <w:pPr>
        <w:pStyle w:val="16"/>
        <w:jc w:val="center"/>
        <w:outlineLvl w:val="2"/>
        <w:rPr>
          <w:b/>
          <w:sz w:val="28"/>
        </w:rPr>
      </w:pPr>
      <w:r>
        <w:rPr>
          <w:b/>
          <w:sz w:val="28"/>
        </w:rPr>
        <w:t>采购人：</w:t>
      </w:r>
      <w:r>
        <w:rPr>
          <w:rFonts w:hint="eastAsia"/>
          <w:b/>
          <w:sz w:val="28"/>
        </w:rPr>
        <w:t>惠州市皮肤病防治研究所</w:t>
      </w: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pStyle w:val="16"/>
        <w:jc w:val="center"/>
        <w:outlineLvl w:val="2"/>
        <w:rPr>
          <w:b/>
          <w:sz w:val="28"/>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val="en-US" w:eastAsia="zh-CN"/>
        </w:rPr>
        <w:t>九</w:t>
      </w:r>
      <w:r>
        <w:rPr>
          <w:rFonts w:hint="eastAsia" w:ascii="方正小标宋_GBK" w:hAnsi="宋体" w:eastAsia="方正小标宋_GBK"/>
          <w:sz w:val="36"/>
          <w:szCs w:val="36"/>
        </w:rPr>
        <w:t>月</w:t>
      </w:r>
    </w:p>
    <w:p>
      <w:pPr>
        <w:pStyle w:val="16"/>
        <w:jc w:val="center"/>
        <w:outlineLvl w:val="2"/>
        <w:rPr>
          <w:b/>
          <w:sz w:val="28"/>
        </w:rPr>
      </w:pPr>
    </w:p>
    <w:p>
      <w:pPr>
        <w:pStyle w:val="16"/>
      </w:pPr>
      <w:r>
        <w:t xml:space="preserve"> </w:t>
      </w:r>
      <w:r>
        <w:br w:type="textWrapping"/>
      </w:r>
      <w:r>
        <w:br w:type="page"/>
      </w:r>
    </w:p>
    <w:p>
      <w:pPr>
        <w:pStyle w:val="16"/>
        <w:jc w:val="center"/>
        <w:outlineLvl w:val="1"/>
      </w:pPr>
      <w:r>
        <w:rPr>
          <w:b/>
          <w:sz w:val="36"/>
        </w:rPr>
        <w:t>第一</w:t>
      </w:r>
      <w:r>
        <w:rPr>
          <w:rFonts w:hint="eastAsia"/>
          <w:b/>
          <w:sz w:val="36"/>
          <w:lang w:val="en-US" w:eastAsia="zh-CN"/>
        </w:rPr>
        <w:t>篇</w:t>
      </w:r>
      <w:r>
        <w:rPr>
          <w:b/>
          <w:sz w:val="36"/>
        </w:rPr>
        <w:t xml:space="preserve"> </w:t>
      </w:r>
      <w:r>
        <w:rPr>
          <w:rFonts w:hint="eastAsia"/>
          <w:b/>
          <w:sz w:val="36"/>
        </w:rPr>
        <w:t>议价采购（唯一来源）</w:t>
      </w:r>
      <w:r>
        <w:rPr>
          <w:b/>
          <w:sz w:val="36"/>
        </w:rPr>
        <w:t>协商邀请</w:t>
      </w:r>
    </w:p>
    <w:p>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被邀请的单一来源供应商：</w:t>
      </w:r>
    </w:p>
    <w:p>
      <w:pPr>
        <w:snapToGrid w:val="0"/>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lang w:val="en-US" w:eastAsia="zh-CN"/>
        </w:rPr>
        <w:t>为业务的持续运行，满足医院的使用需求，需对重新采购医用气体配送及氧气瓶检测服务。因该项目有合法安全运输，降低配送成本的要求，需按照国家相关标准对氧气气瓶进行定期检验、维护保养，故本项目供应商应有危险货物运输资质的货运车队，在惠州市行政区域范围内送货上门同时具有</w:t>
      </w:r>
      <w:bookmarkStart w:id="37" w:name="_GoBack"/>
      <w:bookmarkEnd w:id="37"/>
      <w:r>
        <w:rPr>
          <w:rFonts w:hint="eastAsia" w:ascii="方正仿宋_GBK" w:hAnsi="宋体" w:eastAsia="方正仿宋_GBK" w:cs="Times New Roman"/>
          <w:sz w:val="24"/>
          <w:szCs w:val="24"/>
          <w:lang w:val="en-US" w:eastAsia="zh-CN"/>
        </w:rPr>
        <w:t>危险化学品经营资质与供气设备维护资质。符合《惠州市皮肤病防治研究所采购管理实施细则》议价采购中只有一家供应商满足的情形。故惠州市皮肤病防治研究所采用议价采购（唯一来源）采购人式组织 医用气体配送及氧气瓶检测服务采购项目的采购活动，特邀请唯一来源供应商参加并将本项目有关事项告知如下：</w:t>
      </w:r>
    </w:p>
    <w:p>
      <w:pPr>
        <w:numPr>
          <w:ilvl w:val="0"/>
          <w:numId w:val="0"/>
        </w:numPr>
        <w:snapToGrid w:val="0"/>
        <w:spacing w:line="400" w:lineRule="exact"/>
        <w:ind w:firstLine="480" w:firstLineChars="200"/>
        <w:rPr>
          <w:rFonts w:hint="eastAsia" w:ascii="方正仿宋_GBK" w:hAnsi="宋体" w:eastAsia="方正仿宋_GBK" w:cstheme="minorBidi"/>
          <w:b/>
          <w:kern w:val="2"/>
          <w:sz w:val="24"/>
          <w:szCs w:val="24"/>
          <w:lang w:val="en-US" w:eastAsia="zh-CN" w:bidi="ar-SA"/>
        </w:rPr>
      </w:pPr>
      <w:r>
        <w:rPr>
          <w:rFonts w:hint="eastAsia" w:ascii="方正仿宋_GBK" w:hAnsi="宋体" w:eastAsia="方正仿宋_GBK" w:cstheme="minorBidi"/>
          <w:b/>
          <w:kern w:val="2"/>
          <w:sz w:val="24"/>
          <w:szCs w:val="24"/>
          <w:lang w:val="en-US" w:eastAsia="zh-CN" w:bidi="ar-SA"/>
        </w:rPr>
        <w:t>一、议价采购（唯一来源）采购内容：</w:t>
      </w:r>
    </w:p>
    <w:tbl>
      <w:tblPr>
        <w:tblStyle w:val="13"/>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1569"/>
        <w:gridCol w:w="1985"/>
        <w:gridCol w:w="1130"/>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1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lang w:val="en-US" w:eastAsia="zh-CN"/>
              </w:rPr>
              <w:t>项目</w:t>
            </w:r>
            <w:r>
              <w:rPr>
                <w:rFonts w:hint="eastAsia" w:ascii="方正仿宋_GBK" w:hAnsi="宋体" w:eastAsia="方正仿宋_GBK" w:cs="宋体"/>
                <w:b/>
                <w:bCs/>
                <w:kern w:val="0"/>
                <w:sz w:val="21"/>
                <w:szCs w:val="24"/>
                <w:highlight w:val="none"/>
              </w:rPr>
              <w:t>名称</w:t>
            </w:r>
          </w:p>
        </w:tc>
        <w:tc>
          <w:tcPr>
            <w:tcW w:w="1569"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b/>
                <w:bCs/>
                <w:kern w:val="0"/>
                <w:sz w:val="21"/>
                <w:szCs w:val="24"/>
                <w:highlight w:val="none"/>
                <w:lang w:val="en-US" w:eastAsia="zh-CN"/>
              </w:rPr>
            </w:pPr>
            <w:r>
              <w:rPr>
                <w:rFonts w:hint="eastAsia" w:ascii="方正仿宋_GBK" w:hAnsi="宋体" w:eastAsia="方正仿宋_GBK" w:cs="宋体"/>
                <w:b/>
                <w:bCs/>
                <w:kern w:val="0"/>
                <w:sz w:val="21"/>
                <w:szCs w:val="24"/>
                <w:highlight w:val="none"/>
                <w:lang w:val="en-US" w:eastAsia="zh-CN"/>
              </w:rPr>
              <w:t>项目采购预算（元）</w:t>
            </w:r>
          </w:p>
        </w:tc>
        <w:tc>
          <w:tcPr>
            <w:tcW w:w="1985"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b/>
                <w:bCs/>
                <w:kern w:val="0"/>
                <w:sz w:val="21"/>
                <w:szCs w:val="24"/>
                <w:highlight w:val="none"/>
                <w:lang w:val="en-US" w:eastAsia="zh-CN"/>
              </w:rPr>
            </w:pPr>
            <w:r>
              <w:rPr>
                <w:rFonts w:hint="eastAsia" w:ascii="方正仿宋_GBK" w:hAnsi="宋体" w:eastAsia="方正仿宋_GBK" w:cs="宋体"/>
                <w:b/>
                <w:bCs/>
                <w:kern w:val="0"/>
                <w:sz w:val="21"/>
                <w:szCs w:val="24"/>
                <w:highlight w:val="none"/>
                <w:lang w:val="en-US" w:eastAsia="zh-CN"/>
              </w:rPr>
              <w:t>采购周期</w:t>
            </w:r>
          </w:p>
        </w:tc>
        <w:tc>
          <w:tcPr>
            <w:tcW w:w="113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86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eastAsia="zh-CN"/>
              </w:rPr>
            </w:pPr>
            <w:r>
              <w:rPr>
                <w:rFonts w:hint="eastAsia" w:ascii="方正仿宋_GBK" w:hAnsi="宋体" w:eastAsia="方正仿宋_GBK" w:cs="宋体"/>
                <w:kern w:val="0"/>
                <w:sz w:val="21"/>
                <w:szCs w:val="24"/>
                <w:lang w:eastAsia="zh-CN"/>
              </w:rPr>
              <w:t>医用气体配送及氧气瓶检测服务采购项目</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宋体" w:eastAsia="方正仿宋_GBK"/>
                <w:sz w:val="21"/>
                <w:szCs w:val="21"/>
                <w:lang w:val="en-US" w:eastAsia="zh-CN"/>
              </w:rPr>
            </w:pPr>
            <w:r>
              <w:rPr>
                <w:rFonts w:hint="default" w:ascii="方正仿宋_GBK" w:hAnsi="宋体" w:eastAsia="方正仿宋_GBK"/>
                <w:sz w:val="21"/>
                <w:szCs w:val="21"/>
                <w:lang w:val="en-US" w:eastAsia="zh-CN"/>
              </w:rPr>
              <w:t>70</w:t>
            </w:r>
            <w:r>
              <w:rPr>
                <w:rFonts w:hint="eastAsia" w:ascii="方正仿宋_GBK" w:hAnsi="宋体" w:eastAsia="方正仿宋_GBK"/>
                <w:sz w:val="21"/>
                <w:szCs w:val="21"/>
                <w:lang w:val="en-US" w:eastAsia="zh-CN"/>
              </w:rPr>
              <w:t>0</w:t>
            </w:r>
            <w:r>
              <w:rPr>
                <w:rFonts w:hint="default" w:ascii="方正仿宋_GBK" w:hAnsi="宋体" w:eastAsia="方正仿宋_GBK"/>
                <w:sz w:val="21"/>
                <w:szCs w:val="21"/>
                <w:lang w:val="en-US" w:eastAsia="zh-CN"/>
              </w:rPr>
              <w:t>00</w:t>
            </w:r>
            <w:r>
              <w:rPr>
                <w:rFonts w:hint="eastAsia" w:ascii="方正仿宋_GBK" w:hAnsi="宋体" w:eastAsia="方正仿宋_GBK"/>
                <w:sz w:val="21"/>
                <w:szCs w:val="21"/>
                <w:lang w:val="en-US" w:eastAsia="zh-CN"/>
              </w:rPr>
              <w:t>.</w:t>
            </w:r>
            <w:r>
              <w:rPr>
                <w:rFonts w:hint="default" w:ascii="方正仿宋_GBK" w:hAnsi="宋体" w:eastAsia="方正仿宋_GBK"/>
                <w:sz w:val="21"/>
                <w:szCs w:val="21"/>
                <w:lang w:val="en-US" w:eastAsia="zh-CN"/>
              </w:rPr>
              <w:t>00</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2024年9月1日至2025年2月28日</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1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cs="宋体"/>
                <w:kern w:val="0"/>
                <w:sz w:val="21"/>
                <w:szCs w:val="24"/>
                <w:lang w:val="en-US" w:eastAsia="zh-CN"/>
              </w:rPr>
              <w:t>单</w:t>
            </w:r>
            <w:r>
              <w:rPr>
                <w:rFonts w:hint="eastAsia" w:ascii="方正仿宋_GBK" w:hAnsi="宋体" w:eastAsia="方正仿宋_GBK"/>
                <w:sz w:val="21"/>
                <w:szCs w:val="21"/>
                <w:lang w:val="en-US" w:eastAsia="zh-CN"/>
              </w:rPr>
              <w:t>项限价详见</w:t>
            </w:r>
          </w:p>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第二篇 采购项目内容——</w:t>
            </w:r>
          </w:p>
          <w:p>
            <w:pPr>
              <w:jc w:val="center"/>
              <w:rPr>
                <w:rFonts w:hint="default" w:ascii="方正仿宋_GBK" w:hAnsi="宋体" w:eastAsia="方正仿宋_GBK"/>
                <w:b/>
                <w:sz w:val="21"/>
                <w:szCs w:val="21"/>
                <w:lang w:val="en-US" w:eastAsia="zh-CN"/>
              </w:rPr>
            </w:pPr>
            <w:r>
              <w:rPr>
                <w:rFonts w:hint="eastAsia" w:ascii="方正仿宋_GBK" w:hAnsi="宋体" w:eastAsia="方正仿宋_GBK"/>
                <w:sz w:val="21"/>
                <w:szCs w:val="21"/>
                <w:lang w:val="en-US" w:eastAsia="zh-CN"/>
              </w:rPr>
              <w:t>医用气体配送规格及氧气瓶检测服务要求与对应单项限价明细表</w:t>
            </w:r>
          </w:p>
        </w:tc>
      </w:tr>
    </w:tbl>
    <w:p>
      <w:pPr>
        <w:numPr>
          <w:ilvl w:val="0"/>
          <w:numId w:val="0"/>
        </w:numPr>
        <w:snapToGrid w:val="0"/>
        <w:spacing w:line="400" w:lineRule="exact"/>
        <w:ind w:firstLine="240" w:firstLineChars="100"/>
        <w:rPr>
          <w:rFonts w:hint="eastAsia" w:ascii="方正仿宋_GBK" w:hAnsi="宋体" w:eastAsia="方正仿宋_GBK" w:cs="Times New Roman"/>
          <w:sz w:val="24"/>
          <w:szCs w:val="24"/>
          <w:lang w:val="en-US" w:eastAsia="zh-CN"/>
        </w:rPr>
      </w:pPr>
      <w:r>
        <w:rPr>
          <w:rFonts w:hint="eastAsia" w:ascii="方正仿宋_GBK" w:hAnsi="宋体" w:eastAsia="方正仿宋_GBK" w:cstheme="minorBidi"/>
          <w:b/>
          <w:kern w:val="2"/>
          <w:sz w:val="24"/>
          <w:szCs w:val="24"/>
          <w:lang w:val="en-US" w:eastAsia="zh-CN" w:bidi="ar-SA"/>
        </w:rPr>
        <w:t>二、邀请参加本项目协商的供应商名单如下：</w:t>
      </w:r>
    </w:p>
    <w:tbl>
      <w:tblPr>
        <w:tblStyle w:val="13"/>
        <w:tblW w:w="0" w:type="auto"/>
        <w:tblInd w:w="71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62"/>
        <w:gridCol w:w="38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2" w:type="dxa"/>
          </w:tcPr>
          <w:p>
            <w:pPr>
              <w:snapToGrid w:val="0"/>
              <w:spacing w:line="400" w:lineRule="exact"/>
              <w:jc w:val="center"/>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议价采购（唯一来源）供应商名称</w:t>
            </w:r>
          </w:p>
        </w:tc>
        <w:tc>
          <w:tcPr>
            <w:tcW w:w="3865" w:type="dxa"/>
          </w:tcPr>
          <w:p>
            <w:pPr>
              <w:snapToGrid w:val="0"/>
              <w:spacing w:line="400" w:lineRule="exact"/>
              <w:jc w:val="center"/>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是否为中小企业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62" w:type="dxa"/>
          </w:tcPr>
          <w:p>
            <w:pPr>
              <w:snapToGrid w:val="0"/>
              <w:spacing w:line="400" w:lineRule="exact"/>
              <w:ind w:firstLine="480" w:firstLineChars="200"/>
              <w:jc w:val="center"/>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惠州市正邦气体有限公司</w:t>
            </w:r>
          </w:p>
        </w:tc>
        <w:tc>
          <w:tcPr>
            <w:tcW w:w="3865" w:type="dxa"/>
          </w:tcPr>
          <w:p>
            <w:pPr>
              <w:snapToGrid w:val="0"/>
              <w:spacing w:line="400" w:lineRule="exact"/>
              <w:ind w:firstLine="1680" w:firstLineChars="700"/>
              <w:jc w:val="both"/>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是</w:t>
            </w:r>
          </w:p>
        </w:tc>
      </w:tr>
    </w:tbl>
    <w:p>
      <w:pPr>
        <w:pStyle w:val="5"/>
        <w:adjustRightInd w:val="0"/>
        <w:snapToGrid w:val="0"/>
        <w:spacing w:before="0" w:after="0" w:line="400" w:lineRule="exact"/>
        <w:ind w:firstLine="480" w:firstLineChars="200"/>
        <w:rPr>
          <w:rFonts w:ascii="方正仿宋_GBK" w:hAnsi="宋体" w:eastAsia="方正仿宋_GBK"/>
          <w:sz w:val="24"/>
        </w:rPr>
      </w:pPr>
      <w:bookmarkStart w:id="0" w:name="_Toc106034771"/>
      <w:bookmarkStart w:id="1" w:name="_Toc27028"/>
      <w:bookmarkStart w:id="2" w:name="_Toc65660331"/>
      <w:bookmarkStart w:id="3" w:name="_Toc4424"/>
      <w:bookmarkStart w:id="4" w:name="_Toc3256"/>
      <w:r>
        <w:rPr>
          <w:rFonts w:hint="eastAsia" w:ascii="方正仿宋_GBK" w:hAnsi="宋体" w:eastAsia="方正仿宋_GBK"/>
          <w:sz w:val="24"/>
          <w:lang w:val="en-US" w:eastAsia="zh-CN"/>
        </w:rPr>
        <w:t>三</w:t>
      </w:r>
      <w:r>
        <w:rPr>
          <w:rFonts w:hint="eastAsia" w:ascii="方正仿宋_GBK" w:hAnsi="宋体" w:eastAsia="方正仿宋_GBK"/>
          <w:sz w:val="24"/>
        </w:rPr>
        <w:t>、</w:t>
      </w:r>
      <w:bookmarkEnd w:id="0"/>
      <w:bookmarkEnd w:id="1"/>
      <w:bookmarkEnd w:id="2"/>
      <w:bookmarkEnd w:id="3"/>
      <w:bookmarkEnd w:id="4"/>
      <w:bookmarkStart w:id="5" w:name="_Toc65660332"/>
      <w:bookmarkStart w:id="6" w:name="_Toc18548"/>
      <w:bookmarkStart w:id="7" w:name="_Toc20867"/>
      <w:bookmarkStart w:id="8" w:name="_Toc13541"/>
      <w:bookmarkStart w:id="9" w:name="_Toc64731996"/>
      <w:bookmarkStart w:id="10" w:name="_Toc106034772"/>
      <w:r>
        <w:rPr>
          <w:rFonts w:hint="eastAsia" w:ascii="方正仿宋_GBK" w:hAnsi="宋体" w:eastAsia="方正仿宋_GBK"/>
          <w:sz w:val="24"/>
        </w:rPr>
        <w:t>供应商资格条件</w:t>
      </w:r>
      <w:bookmarkEnd w:id="5"/>
      <w:bookmarkEnd w:id="6"/>
      <w:bookmarkEnd w:id="7"/>
      <w:bookmarkEnd w:id="8"/>
      <w:bookmarkEnd w:id="9"/>
      <w:bookmarkEnd w:id="10"/>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（一）满足《中华人民共和国政府采购法》第二十二条规定须</w:t>
      </w:r>
      <w:r>
        <w:rPr>
          <w:rFonts w:hint="eastAsia" w:ascii="方正仿宋_GBK" w:hAnsi="宋体" w:eastAsia="方正仿宋_GBK"/>
          <w:sz w:val="24"/>
          <w:szCs w:val="24"/>
          <w:lang w:eastAsia="zh-CN"/>
        </w:rPr>
        <w:t>，</w:t>
      </w:r>
      <w:r>
        <w:rPr>
          <w:rFonts w:hint="eastAsia" w:ascii="方正仿宋_GBK" w:hAnsi="宋体" w:eastAsia="方正仿宋_GBK"/>
          <w:sz w:val="24"/>
          <w:szCs w:val="24"/>
        </w:rPr>
        <w:t>提供</w:t>
      </w:r>
      <w:r>
        <w:rPr>
          <w:rFonts w:hint="eastAsia" w:ascii="方正仿宋_GBK" w:hAnsi="宋体" w:eastAsia="方正仿宋_GBK"/>
          <w:sz w:val="24"/>
          <w:szCs w:val="24"/>
          <w:highlight w:val="none"/>
        </w:rPr>
        <w:t>营业执照副本复印件印件</w:t>
      </w:r>
      <w:r>
        <w:rPr>
          <w:rFonts w:hint="eastAsia" w:ascii="方正仿宋_GBK" w:hAnsi="宋体" w:eastAsia="方正仿宋_GBK"/>
          <w:sz w:val="24"/>
          <w:szCs w:val="24"/>
          <w:lang w:eastAsia="zh-CN"/>
        </w:rPr>
        <w:t>。</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1</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具有独立承担民事责任的能力：在中华人民共和国境内注册的法人或其他组织或自然人。</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2</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有依法缴纳税收和社会保障资金的良好记录。</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具有良好的商业信誉和健全的财务会计制度。</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4</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履行合同所必需的设备和专业技术能力。</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5</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eastAsia="zh-CN"/>
        </w:rPr>
        <w:t>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（二）本项目的特定资格要求</w:t>
      </w:r>
      <w:r>
        <w:rPr>
          <w:rFonts w:hint="eastAsia" w:ascii="方正仿宋_GBK" w:hAnsi="宋体" w:eastAsia="方正仿宋_GBK"/>
          <w:color w:val="000000" w:themeColor="text1"/>
          <w:sz w:val="24"/>
          <w:szCs w:val="24"/>
          <w14:textFill>
            <w14:solidFill>
              <w14:schemeClr w14:val="tx1"/>
            </w14:solidFill>
          </w14:textFill>
        </w:rPr>
        <w:t>：</w:t>
      </w:r>
    </w:p>
    <w:p>
      <w:pPr>
        <w:pStyle w:val="16"/>
        <w:ind w:firstLine="480"/>
        <w:jc w:val="left"/>
        <w:outlineLvl w:val="2"/>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 xml:space="preserve">1.供应商是医用气体生产企业或经有效授权的医用气体代销企业。（代理商报价应提供有效的授权书或代理证明）：供应商必须具备《危险化学品经营许可证》、《气瓶充装许可证》和《道路运输经营许可证》（证书中必须有注明危险货物运输经营范围∶液体氮等。）； </w:t>
      </w:r>
    </w:p>
    <w:p>
      <w:pPr>
        <w:pStyle w:val="16"/>
        <w:ind w:firstLine="480"/>
        <w:jc w:val="left"/>
        <w:outlineLvl w:val="2"/>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2.生产厂家必须具备《药品生产许可证》、《药品GMP证书》、《药品注册批件》等规定的证照，证书中应注明相关范围∶医用氧（气态氧）;氮（压缩、液化气体）。</w:t>
      </w:r>
    </w:p>
    <w:p>
      <w:pPr>
        <w:pStyle w:val="16"/>
        <w:ind w:firstLine="480"/>
        <w:jc w:val="left"/>
        <w:outlineLvl w:val="2"/>
        <w:rPr>
          <w:rFonts w:hint="eastAsia" w:ascii="方正仿宋_GBK" w:hAnsi="宋体" w:eastAsia="方正仿宋_GBK" w:cstheme="minorBidi"/>
          <w:b/>
          <w:kern w:val="2"/>
          <w:sz w:val="24"/>
          <w:szCs w:val="24"/>
          <w:lang w:val="en-US" w:eastAsia="zh-CN" w:bidi="ar-SA"/>
        </w:rPr>
      </w:pPr>
      <w:r>
        <w:rPr>
          <w:rFonts w:hint="eastAsia" w:ascii="方正仿宋_GBK" w:hAnsi="宋体" w:eastAsia="方正仿宋_GBK" w:cstheme="minorBidi"/>
          <w:b/>
          <w:kern w:val="2"/>
          <w:sz w:val="24"/>
          <w:szCs w:val="24"/>
          <w:lang w:val="en-US" w:eastAsia="zh-CN" w:bidi="ar-SA"/>
        </w:rPr>
        <w:t>四、议价采购（唯一来源）有关说明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（一）参加议价（唯一来源）采购的供应商，请在</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前</w:t>
      </w:r>
      <w:r>
        <w:rPr>
          <w:rFonts w:hint="eastAsia" w:ascii="方正仿宋_GBK" w:hAnsi="宋体" w:eastAsia="方正仿宋_GBK"/>
          <w:sz w:val="24"/>
          <w:szCs w:val="24"/>
          <w:lang w:val="en-US" w:eastAsia="zh-CN"/>
        </w:rPr>
        <w:t>仔细研读</w:t>
      </w:r>
      <w:r>
        <w:rPr>
          <w:rFonts w:hint="eastAsia" w:ascii="方正仿宋_GBK" w:hAnsi="宋体" w:eastAsia="方正仿宋_GBK"/>
          <w:sz w:val="24"/>
          <w:szCs w:val="24"/>
        </w:rPr>
        <w:t>项目资料，</w:t>
      </w:r>
      <w:r>
        <w:rPr>
          <w:rFonts w:hint="eastAsia" w:ascii="方正仿宋_GBK" w:hAnsi="宋体" w:eastAsia="方正仿宋_GBK"/>
          <w:sz w:val="24"/>
          <w:szCs w:val="24"/>
          <w:lang w:val="en-US" w:eastAsia="zh-CN"/>
        </w:rPr>
        <w:t>凡参与议价</w:t>
      </w:r>
      <w:r>
        <w:rPr>
          <w:rFonts w:hint="eastAsia" w:ascii="方正仿宋_GBK" w:hAnsi="宋体" w:eastAsia="方正仿宋_GBK"/>
          <w:sz w:val="24"/>
          <w:szCs w:val="24"/>
        </w:rPr>
        <w:t>（唯一来源）</w:t>
      </w:r>
      <w:r>
        <w:rPr>
          <w:rFonts w:hint="eastAsia" w:ascii="方正仿宋_GBK" w:hAnsi="宋体" w:eastAsia="方正仿宋_GBK"/>
          <w:sz w:val="24"/>
          <w:szCs w:val="24"/>
          <w:lang w:val="en-US" w:eastAsia="zh-CN"/>
        </w:rPr>
        <w:t>的供应商</w:t>
      </w:r>
      <w:r>
        <w:rPr>
          <w:rFonts w:hint="eastAsia" w:ascii="方正仿宋_GBK" w:hAnsi="宋体" w:eastAsia="方正仿宋_GBK"/>
          <w:sz w:val="24"/>
          <w:szCs w:val="24"/>
        </w:rPr>
        <w:t>均视为已知晓所有实质性要求内容。</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（二）递交</w:t>
      </w:r>
      <w:r>
        <w:rPr>
          <w:rFonts w:hint="eastAsia" w:ascii="方正仿宋_GBK" w:hAnsi="宋体" w:eastAsia="方正仿宋_GBK"/>
          <w:sz w:val="24"/>
          <w:szCs w:val="24"/>
          <w:lang w:val="en-US" w:eastAsia="zh-CN"/>
        </w:rPr>
        <w:t>议价（唯一来源）</w:t>
      </w:r>
      <w:r>
        <w:rPr>
          <w:rFonts w:hint="eastAsia" w:ascii="方正仿宋_GBK" w:hAnsi="宋体" w:eastAsia="方正仿宋_GBK"/>
          <w:sz w:val="24"/>
          <w:szCs w:val="24"/>
        </w:rPr>
        <w:t>文件需遵循以下要求</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于</w:t>
      </w:r>
      <w:r>
        <w:rPr>
          <w:rFonts w:hint="eastAsia" w:ascii="方正仿宋_GBK" w:hAnsi="宋体" w:eastAsia="方正仿宋_GBK"/>
          <w:sz w:val="24"/>
          <w:szCs w:val="24"/>
        </w:rPr>
        <w:t>截止时间前将纸质版响应文件正、副本各一本递交至采购人地址。此外，</w:t>
      </w:r>
      <w:r>
        <w:rPr>
          <w:rFonts w:hint="eastAsia" w:ascii="方正仿宋_GBK" w:hAnsi="宋体" w:eastAsia="方正仿宋_GBK"/>
          <w:sz w:val="24"/>
          <w:szCs w:val="24"/>
          <w:lang w:val="en-US" w:eastAsia="zh-CN"/>
        </w:rPr>
        <w:t>响应文件需按要求加盖公章。</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（三）提交</w:t>
      </w:r>
      <w:r>
        <w:rPr>
          <w:rFonts w:hint="eastAsia" w:ascii="方正仿宋_GBK" w:hAnsi="宋体" w:eastAsia="方正仿宋_GBK"/>
          <w:sz w:val="24"/>
          <w:szCs w:val="24"/>
          <w:lang w:val="en-US" w:eastAsia="zh-CN"/>
        </w:rPr>
        <w:t>议价（唯一来源）采购</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递交</w:t>
      </w:r>
      <w:r>
        <w:rPr>
          <w:rFonts w:hint="eastAsia" w:ascii="方正仿宋_GBK" w:hAnsi="宋体" w:eastAsia="方正仿宋_GBK"/>
          <w:sz w:val="24"/>
          <w:szCs w:val="24"/>
        </w:rPr>
        <w:t>截止时间：</w:t>
      </w:r>
      <w:r>
        <w:rPr>
          <w:rFonts w:hint="eastAsia" w:ascii="方正仿宋_GBK" w:hAnsi="宋体" w:eastAsia="方正仿宋_GBK"/>
          <w:sz w:val="24"/>
          <w:szCs w:val="24"/>
          <w:highlight w:val="none"/>
          <w:lang w:val="en-US" w:eastAsia="zh-CN"/>
        </w:rPr>
        <w:t>2024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19</w:t>
      </w:r>
      <w:r>
        <w:rPr>
          <w:rFonts w:hint="eastAsia" w:ascii="方正仿宋_GBK" w:hAnsi="宋体" w:eastAsia="方正仿宋_GBK"/>
          <w:sz w:val="24"/>
          <w:szCs w:val="24"/>
          <w:highlight w:val="none"/>
        </w:rPr>
        <w:t>日</w:t>
      </w:r>
      <w:r>
        <w:rPr>
          <w:rFonts w:hint="eastAsia" w:ascii="方正仿宋_GBK" w:hAnsi="宋体" w:eastAsia="方正仿宋_GBK"/>
          <w:sz w:val="24"/>
          <w:szCs w:val="24"/>
        </w:rPr>
        <w:t>北京时间</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分。</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议价（唯一来源）</w:t>
      </w:r>
      <w:r>
        <w:rPr>
          <w:rFonts w:hint="eastAsia" w:ascii="方正仿宋_GBK" w:hAnsi="宋体" w:eastAsia="方正仿宋_GBK"/>
          <w:sz w:val="24"/>
          <w:szCs w:val="24"/>
        </w:rPr>
        <w:t>开始时间：</w:t>
      </w:r>
      <w:r>
        <w:rPr>
          <w:rFonts w:hint="eastAsia" w:ascii="方正仿宋_GBK" w:hAnsi="宋体" w:eastAsia="方正仿宋_GBK"/>
          <w:sz w:val="24"/>
          <w:szCs w:val="24"/>
          <w:highlight w:val="none"/>
          <w:lang w:val="en-US" w:eastAsia="zh-CN"/>
        </w:rPr>
        <w:t>2024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19</w:t>
      </w:r>
      <w:r>
        <w:rPr>
          <w:rFonts w:hint="eastAsia" w:ascii="方正仿宋_GBK" w:hAnsi="宋体" w:eastAsia="方正仿宋_GBK"/>
          <w:sz w:val="24"/>
          <w:szCs w:val="24"/>
          <w:highlight w:val="none"/>
        </w:rPr>
        <w:t>日</w:t>
      </w:r>
      <w:r>
        <w:rPr>
          <w:rFonts w:hint="eastAsia" w:ascii="方正仿宋_GBK" w:hAnsi="宋体" w:eastAsia="方正仿宋_GBK"/>
          <w:sz w:val="24"/>
          <w:szCs w:val="24"/>
        </w:rPr>
        <w:t>北京时间</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时30分。</w:t>
      </w:r>
    </w:p>
    <w:p>
      <w:pPr>
        <w:spacing w:line="400" w:lineRule="exact"/>
        <w:ind w:firstLine="480" w:firstLineChars="200"/>
        <w:rPr>
          <w:b/>
          <w:sz w:val="28"/>
        </w:rPr>
      </w:pPr>
      <w:r>
        <w:rPr>
          <w:rFonts w:hint="eastAsia" w:ascii="方正仿宋_GBK" w:hAnsi="宋体" w:eastAsia="方正仿宋_GBK"/>
          <w:sz w:val="24"/>
          <w:szCs w:val="24"/>
          <w:lang w:val="en-US" w:eastAsia="zh-CN"/>
        </w:rPr>
        <w:t>（五）议价（唯一来源）当日请响应文件中的委托代理人本人参与议价，非委托代理人不能代替议价。</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（六）议价（唯一来源）及递交文件地点：惠州市惠城区鹅岭北路横街2号惠州市皮肤病防治研究所</w:t>
      </w:r>
    </w:p>
    <w:p>
      <w:pPr>
        <w:pStyle w:val="16"/>
        <w:ind w:firstLine="480"/>
        <w:jc w:val="left"/>
        <w:outlineLvl w:val="2"/>
        <w:rPr>
          <w:rFonts w:hint="eastAsia" w:ascii="方正仿宋_GBK" w:hAnsi="宋体" w:eastAsia="方正仿宋_GBK" w:cstheme="minorBidi"/>
          <w:b/>
          <w:kern w:val="2"/>
          <w:sz w:val="24"/>
          <w:szCs w:val="24"/>
          <w:lang w:val="en-US" w:eastAsia="zh-CN" w:bidi="ar-SA"/>
        </w:rPr>
      </w:pPr>
      <w:r>
        <w:rPr>
          <w:rFonts w:hint="eastAsia" w:ascii="方正仿宋_GBK" w:hAnsi="宋体" w:eastAsia="方正仿宋_GBK" w:cstheme="minorBidi"/>
          <w:b/>
          <w:kern w:val="2"/>
          <w:sz w:val="24"/>
          <w:szCs w:val="24"/>
          <w:lang w:val="en-US" w:eastAsia="zh-CN" w:bidi="ar-SA"/>
        </w:rPr>
        <w:t>五、联系方式</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采购人：惠州市皮肤病防治研究所</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联系人：吴媛媛</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  话：2389002</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地  址：惠州市惠城区鹅岭北路横街2号</w:t>
      </w:r>
    </w:p>
    <w:p>
      <w:pPr>
        <w:pStyle w:val="16"/>
      </w:pPr>
      <w:r>
        <w:br w:type="page"/>
      </w:r>
    </w:p>
    <w:p>
      <w:pPr>
        <w:spacing w:line="420" w:lineRule="exact"/>
        <w:jc w:val="center"/>
        <w:rPr>
          <w:rFonts w:hint="eastAsia" w:asciiTheme="minorHAnsi" w:hAnsiTheme="minorHAnsi" w:eastAsiaTheme="minorEastAsia" w:cstheme="minorBidi"/>
          <w:b/>
          <w:kern w:val="0"/>
          <w:sz w:val="28"/>
          <w:szCs w:val="20"/>
          <w:lang w:val="en-US" w:eastAsia="zh-CN"/>
        </w:rPr>
      </w:pPr>
      <w:r>
        <w:rPr>
          <w:rFonts w:hint="eastAsia"/>
          <w:b/>
          <w:sz w:val="36"/>
        </w:rPr>
        <w:t>第二篇 采购项目内容</w:t>
      </w:r>
    </w:p>
    <w:p>
      <w:pPr>
        <w:numPr>
          <w:ilvl w:val="0"/>
          <w:numId w:val="0"/>
        </w:numPr>
        <w:ind w:firstLine="562" w:firstLineChars="200"/>
        <w:rPr>
          <w:rFonts w:hint="eastAsia" w:asciiTheme="minorHAnsi" w:hAnsiTheme="minorHAnsi" w:eastAsiaTheme="minorEastAsia" w:cstheme="minorBidi"/>
          <w:b/>
          <w:kern w:val="0"/>
          <w:sz w:val="28"/>
          <w:szCs w:val="20"/>
          <w:lang w:val="en-US" w:eastAsia="zh-CN"/>
        </w:rPr>
      </w:pPr>
      <w:r>
        <w:rPr>
          <w:rFonts w:hint="eastAsia" w:cstheme="minorBidi"/>
          <w:b/>
          <w:kern w:val="0"/>
          <w:sz w:val="28"/>
          <w:szCs w:val="20"/>
          <w:lang w:val="en-US" w:eastAsia="zh-CN"/>
        </w:rPr>
        <w:t>一</w:t>
      </w:r>
      <w:r>
        <w:rPr>
          <w:rFonts w:hint="eastAsia" w:asciiTheme="minorHAnsi" w:hAnsiTheme="minorHAnsi" w:eastAsiaTheme="minorEastAsia" w:cstheme="minorBidi"/>
          <w:b/>
          <w:kern w:val="0"/>
          <w:sz w:val="28"/>
          <w:szCs w:val="20"/>
          <w:lang w:val="en-US" w:eastAsia="zh-CN"/>
        </w:rPr>
        <w:t>、采购项目技术要求</w:t>
      </w:r>
    </w:p>
    <w:p>
      <w:pPr>
        <w:pStyle w:val="2"/>
        <w:numPr>
          <w:ilvl w:val="0"/>
          <w:numId w:val="0"/>
        </w:numPr>
        <w:ind w:leftChars="100"/>
        <w:rPr>
          <w:rFonts w:hint="eastAsia"/>
          <w:sz w:val="28"/>
          <w:szCs w:val="28"/>
          <w:lang w:val="en-US" w:eastAsia="zh-CN"/>
        </w:rPr>
      </w:pPr>
      <w:r>
        <w:rPr>
          <w:rFonts w:hint="eastAsia" w:ascii="仿宋" w:hAnsi="仿宋" w:eastAsia="仿宋" w:cs="仿宋"/>
          <w:b w:val="0"/>
          <w:bCs w:val="0"/>
          <w:color w:val="000000"/>
          <w:kern w:val="0"/>
          <w:sz w:val="28"/>
          <w:szCs w:val="28"/>
          <w:vertAlign w:val="baseline"/>
          <w:lang w:val="en-US" w:eastAsia="zh-CN"/>
        </w:rPr>
        <w:t>（一）医用气体配送规格及氧气瓶检测服务要求与对应单项限价明细表：</w:t>
      </w:r>
    </w:p>
    <w:tbl>
      <w:tblPr>
        <w:tblStyle w:val="13"/>
        <w:tblW w:w="9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2019"/>
        <w:gridCol w:w="2567"/>
        <w:gridCol w:w="1035"/>
        <w:gridCol w:w="1635"/>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服务类型/规格型号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预计数量</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单项限价</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医用氧气气体</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容量：5L</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压力：12.5±0.5MPa</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按需采购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医用氧气气体</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容量：10L</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压力：12.5±0.5MPa</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按需采购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医用氧气气体</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容量：20L</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压力：12.5±0.5MPa</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按需采购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液氮</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10L/瓶</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按需采购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氧气瓶检测服务</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专业技术服务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按需采购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气体配送服务</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其他交通运输、仓储服务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按需采购</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300.00 </w:t>
            </w:r>
          </w:p>
        </w:tc>
      </w:tr>
    </w:tbl>
    <w:p>
      <w:pPr>
        <w:pStyle w:val="2"/>
        <w:numPr>
          <w:ilvl w:val="0"/>
          <w:numId w:val="0"/>
        </w:numPr>
        <w:ind w:leftChars="100"/>
        <w:rPr>
          <w:rFonts w:hint="default"/>
          <w:lang w:val="en-US" w:eastAsia="zh-CN"/>
        </w:rPr>
      </w:pPr>
      <w:r>
        <w:rPr>
          <w:rFonts w:hint="eastAsia" w:ascii="仿宋" w:hAnsi="仿宋" w:eastAsia="仿宋" w:cs="仿宋"/>
          <w:b w:val="0"/>
          <w:bCs w:val="0"/>
          <w:color w:val="000000"/>
          <w:kern w:val="0"/>
          <w:sz w:val="28"/>
          <w:szCs w:val="28"/>
          <w:vertAlign w:val="baseline"/>
          <w:lang w:val="en-US" w:eastAsia="zh-CN"/>
        </w:rPr>
        <w:t>（二）其他服务内容与质量要求</w:t>
      </w:r>
    </w:p>
    <w:tbl>
      <w:tblPr>
        <w:tblStyle w:val="14"/>
        <w:tblW w:w="9496"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28"/>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序号</w:t>
            </w:r>
          </w:p>
        </w:tc>
        <w:tc>
          <w:tcPr>
            <w:tcW w:w="2028" w:type="dxa"/>
            <w:vAlign w:val="center"/>
          </w:tcPr>
          <w:p>
            <w:pPr>
              <w:snapToGrid w:val="0"/>
              <w:spacing w:line="440" w:lineRule="exact"/>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服务内容</w:t>
            </w:r>
          </w:p>
        </w:tc>
        <w:tc>
          <w:tcPr>
            <w:tcW w:w="6753" w:type="dxa"/>
            <w:vAlign w:val="center"/>
          </w:tcPr>
          <w:p>
            <w:pPr>
              <w:snapToGrid w:val="0"/>
              <w:spacing w:line="440" w:lineRule="exact"/>
              <w:ind w:firstLine="480" w:firstLineChars="200"/>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w:t>
            </w:r>
          </w:p>
        </w:tc>
        <w:tc>
          <w:tcPr>
            <w:tcW w:w="2028"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气体质量标准</w:t>
            </w:r>
          </w:p>
        </w:tc>
        <w:tc>
          <w:tcPr>
            <w:tcW w:w="6753" w:type="dxa"/>
            <w:vAlign w:val="center"/>
          </w:tcPr>
          <w:p>
            <w:pPr>
              <w:snapToGrid w:val="0"/>
              <w:spacing w:line="440" w:lineRule="exact"/>
              <w:ind w:firstLine="480" w:firstLineChars="200"/>
              <w:jc w:val="left"/>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医用液氧需符合《中国药典》2015版要求;若有新的药典标准颁布，则必须执行最新的《中国药典》版本要求;液氮需符合《中华人民共和国国家标准--纯氮、高纯氮、纯氮、》GB/T8979-2008版要求。若有新的国家标准颁布，则必须执行最新的《中华人民共和国国家标准--纯氮、高纯氮、超纯氮》版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p>
        </w:tc>
        <w:tc>
          <w:tcPr>
            <w:tcW w:w="2028"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气体质量标识及相关要求</w:t>
            </w:r>
          </w:p>
        </w:tc>
        <w:tc>
          <w:tcPr>
            <w:tcW w:w="6753" w:type="dxa"/>
            <w:vAlign w:val="center"/>
          </w:tcPr>
          <w:p>
            <w:pPr>
              <w:numPr>
                <w:ilvl w:val="0"/>
                <w:numId w:val="2"/>
              </w:numPr>
              <w:snapToGrid w:val="0"/>
              <w:spacing w:line="440" w:lineRule="exact"/>
              <w:ind w:firstLine="480" w:firstLineChars="200"/>
              <w:jc w:val="left"/>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按分装瓶随附产品检验合格证;</w:t>
            </w:r>
          </w:p>
          <w:p>
            <w:pPr>
              <w:numPr>
                <w:ilvl w:val="0"/>
                <w:numId w:val="0"/>
              </w:numPr>
              <w:snapToGrid w:val="0"/>
              <w:spacing w:line="440" w:lineRule="exact"/>
              <w:ind w:firstLine="480" w:firstLineChars="200"/>
              <w:jc w:val="left"/>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（2）按分装瓶标明产品名称，生产日期、生产批号、气体的容量（m3）、压力（Mpa）、质量（kg）和纯度（%）、执行标准代号、生产企业等;</w:t>
            </w:r>
          </w:p>
          <w:p>
            <w:pPr>
              <w:numPr>
                <w:ilvl w:val="0"/>
                <w:numId w:val="0"/>
              </w:numPr>
              <w:snapToGrid w:val="0"/>
              <w:spacing w:line="440" w:lineRule="exact"/>
              <w:ind w:firstLine="480" w:firstLineChars="200"/>
              <w:jc w:val="left"/>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（3）专瓶专用。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15"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w:t>
            </w:r>
          </w:p>
        </w:tc>
        <w:tc>
          <w:tcPr>
            <w:tcW w:w="2028"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氧气气瓶维护保养和检测</w:t>
            </w:r>
          </w:p>
        </w:tc>
        <w:tc>
          <w:tcPr>
            <w:tcW w:w="67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（1）执行标准：依据《气瓶安全技术规程》(tsg 23-2021)要求，由符合检验纸质的检验机构对氧气气瓶进行定期检验、维护保养等，同时提供有关检测、维保等报告资料给采购人存档；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（2）基本要求：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①供应商应当取得气瓶定期检验机构核准证书，并且接受市场监管部门的监督;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②供应商应当按照核准的检验范围从事气瓶的检验工作，对检验报告的真实性、准确性和有效性负责；检验人员应当取得气瓶检验人员资格证书，无损检测人员应当取得相应无损检测资格证书;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③检验前，应当确认气瓶按照国家相关安全、环保、消防的要求，对瓶内残气、残液进行回收和处理，确保检验工作的安全;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④应当对气瓶和瓶阀逐只进行检验，对气瓶下次检验日期以前超出设计使用年限的瓶阀予以更换，及时、真实地填写检验记录，并且出具定期检验报告;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⑤在气瓶表面涂敷颜色标志、检验机构名称、下次定期检验日期和检验合格标志等;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⑥对报废气瓶进行消除使用功能的破坏性处理;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⑦依据充装使用单位申请，由气瓶检验机构对达到设计使用年限的气瓶进行安全评估，并且对安全评估结论负责;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⑧完成检验后，检验人员应当按照气瓶质量安全追溯信息平台的要求，及时汇总、统计和上传有关检验结果的数据，检验结果数据也可以由使用单位上传。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（3）送检安排：我所应当在气瓶检验有效期届满前一个月，向供应商提出定期检验申请，并7日内由供应商上门收取气瓶。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（4）不合格气瓶的处理：依法不得使用存在严重事故隐患、经检验不合格或者应当予以报废的气瓶。对需要报废的气瓶，应当依法履行报废义务，自行或者将其送交气瓶检验机构进行消除使用功能的报废处理。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snapToGrid w:val="0"/>
              <w:spacing w:line="440" w:lineRule="exact"/>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4</w:t>
            </w:r>
          </w:p>
        </w:tc>
        <w:tc>
          <w:tcPr>
            <w:tcW w:w="2028"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配套设备设施及人员要求</w:t>
            </w:r>
          </w:p>
        </w:tc>
        <w:tc>
          <w:tcPr>
            <w:tcW w:w="67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（1）应有完善的气体储存、中转、运输和装卸等配套设备设施，</w:t>
            </w:r>
            <w:r>
              <w:rPr>
                <w:rFonts w:hint="default" w:ascii="仿宋" w:hAnsi="仿宋" w:eastAsia="仿宋" w:cs="仿宋"/>
                <w:b w:val="0"/>
                <w:bCs w:val="0"/>
                <w:color w:val="000000"/>
                <w:kern w:val="0"/>
                <w:sz w:val="24"/>
                <w:szCs w:val="24"/>
                <w:vertAlign w:val="baseline"/>
                <w:lang w:val="en-US" w:eastAsia="zh-CN"/>
              </w:rPr>
              <w:t>保</w:t>
            </w:r>
            <w:r>
              <w:rPr>
                <w:rFonts w:hint="eastAsia" w:ascii="仿宋" w:hAnsi="仿宋" w:eastAsia="仿宋" w:cs="仿宋"/>
                <w:b w:val="0"/>
                <w:bCs w:val="0"/>
                <w:color w:val="000000"/>
                <w:kern w:val="0"/>
                <w:sz w:val="24"/>
                <w:szCs w:val="24"/>
                <w:vertAlign w:val="baseline"/>
                <w:lang w:val="en-US" w:eastAsia="zh-CN"/>
              </w:rPr>
              <w:t>障</w:t>
            </w:r>
            <w:r>
              <w:rPr>
                <w:rFonts w:hint="default" w:ascii="仿宋" w:hAnsi="仿宋" w:eastAsia="仿宋" w:cs="仿宋"/>
                <w:b w:val="0"/>
                <w:bCs w:val="0"/>
                <w:color w:val="000000"/>
                <w:kern w:val="0"/>
                <w:sz w:val="24"/>
                <w:szCs w:val="24"/>
                <w:vertAlign w:val="baseline"/>
                <w:lang w:val="en-US" w:eastAsia="zh-CN"/>
              </w:rPr>
              <w:t>充装环境安全无障碍;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r>
              <w:rPr>
                <w:rFonts w:hint="default" w:ascii="仿宋" w:hAnsi="仿宋" w:eastAsia="仿宋" w:cs="仿宋"/>
                <w:b w:val="0"/>
                <w:bCs w:val="0"/>
                <w:color w:val="000000"/>
                <w:kern w:val="0"/>
                <w:sz w:val="24"/>
                <w:szCs w:val="24"/>
                <w:vertAlign w:val="baseline"/>
                <w:lang w:val="en-US" w:eastAsia="zh-CN"/>
              </w:rPr>
              <w:t>操作人员必须持有《中华人民共和国特种设备作业人员证》;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lang w:val="en-US" w:eastAsia="zh-CN"/>
              </w:rPr>
            </w:pPr>
            <w:r>
              <w:rPr>
                <w:rFonts w:hint="eastAsia" w:ascii="仿宋" w:hAnsi="仿宋" w:eastAsia="仿宋" w:cs="仿宋"/>
                <w:b w:val="0"/>
                <w:bCs w:val="0"/>
                <w:color w:val="000000"/>
                <w:kern w:val="0"/>
                <w:sz w:val="24"/>
                <w:szCs w:val="24"/>
                <w:vertAlign w:val="baseline"/>
                <w:lang w:val="en-US" w:eastAsia="zh-CN"/>
              </w:rPr>
              <w:t>（3）合法运输医用气体，运输</w:t>
            </w:r>
            <w:r>
              <w:rPr>
                <w:rFonts w:hint="default" w:ascii="仿宋" w:hAnsi="仿宋" w:eastAsia="仿宋" w:cs="仿宋"/>
                <w:b w:val="0"/>
                <w:bCs w:val="0"/>
                <w:color w:val="000000"/>
                <w:kern w:val="0"/>
                <w:sz w:val="24"/>
                <w:szCs w:val="24"/>
                <w:vertAlign w:val="baseline"/>
                <w:lang w:val="en-US" w:eastAsia="zh-CN"/>
              </w:rPr>
              <w:t>车辆必须配备静电带或基他防静电装置</w:t>
            </w:r>
            <w:r>
              <w:rPr>
                <w:rFonts w:hint="eastAsia" w:ascii="仿宋" w:hAnsi="仿宋" w:eastAsia="仿宋" w:cs="仿宋"/>
                <w:b w:val="0"/>
                <w:bCs w:val="0"/>
                <w:color w:val="00000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pPr>
              <w:snapToGrid w:val="0"/>
              <w:spacing w:line="440" w:lineRule="exact"/>
              <w:jc w:val="center"/>
              <w:rPr>
                <w:rFonts w:hint="default"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5</w:t>
            </w:r>
          </w:p>
        </w:tc>
        <w:tc>
          <w:tcPr>
            <w:tcW w:w="2028" w:type="dxa"/>
            <w:vAlign w:val="center"/>
          </w:tcPr>
          <w:p>
            <w:pPr>
              <w:snapToGrid w:val="0"/>
              <w:spacing w:line="440" w:lineRule="exact"/>
              <w:jc w:val="center"/>
              <w:rPr>
                <w:rFonts w:hint="eastAsia" w:ascii="仿宋" w:hAnsi="仿宋" w:eastAsia="仿宋" w:cs="仿宋"/>
                <w:b w:val="0"/>
                <w:bCs w:val="0"/>
                <w:color w:val="000000"/>
                <w:kern w:val="0"/>
                <w:sz w:val="24"/>
                <w:szCs w:val="24"/>
                <w:vertAlign w:val="baseline"/>
                <w:lang w:val="en-US" w:eastAsia="zh-CN"/>
              </w:rPr>
            </w:pPr>
            <w:r>
              <w:rPr>
                <w:rFonts w:hint="default" w:ascii="仿宋" w:hAnsi="仿宋" w:eastAsia="仿宋" w:cs="仿宋"/>
                <w:b w:val="0"/>
                <w:bCs w:val="0"/>
                <w:color w:val="000000"/>
                <w:kern w:val="0"/>
                <w:sz w:val="24"/>
                <w:szCs w:val="24"/>
                <w:vertAlign w:val="baseline"/>
                <w:lang w:val="en-US" w:eastAsia="zh-CN"/>
              </w:rPr>
              <w:t>储罐充装要求</w:t>
            </w:r>
          </w:p>
        </w:tc>
        <w:tc>
          <w:tcPr>
            <w:tcW w:w="6753" w:type="dxa"/>
            <w:vAlign w:val="center"/>
          </w:tcPr>
          <w:p>
            <w:pPr>
              <w:snapToGrid w:val="0"/>
              <w:spacing w:line="4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（1）标注气体名称、灌装批号、有效期及封口完好，由采购人提供的气瓶。</w:t>
            </w:r>
          </w:p>
          <w:p>
            <w:pPr>
              <w:snapToGrid w:val="0"/>
              <w:spacing w:line="440" w:lineRule="exact"/>
              <w:ind w:firstLine="480" w:firstLineChars="200"/>
              <w:jc w:val="left"/>
              <w:rPr>
                <w:rFonts w:hint="eastAsia" w:ascii="仿宋" w:hAnsi="仿宋" w:eastAsia="仿宋" w:cs="仿宋"/>
                <w:b w:val="0"/>
                <w:bCs w:val="0"/>
                <w:color w:val="000000"/>
                <w:kern w:val="0"/>
                <w:sz w:val="24"/>
                <w:szCs w:val="24"/>
                <w:vertAlign w:val="baseline"/>
                <w:lang w:val="en-US" w:eastAsia="zh-CN"/>
              </w:rPr>
            </w:pPr>
            <w:r>
              <w:rPr>
                <w:rFonts w:hint="eastAsia" w:ascii="仿宋" w:hAnsi="仿宋" w:eastAsia="仿宋" w:cs="仿宋"/>
                <w:b w:val="0"/>
                <w:bCs w:val="0"/>
                <w:color w:val="000000"/>
                <w:kern w:val="0"/>
                <w:sz w:val="24"/>
                <w:szCs w:val="24"/>
                <w:vertAlign w:val="baseline"/>
                <w:lang w:val="en-US" w:eastAsia="zh-CN"/>
              </w:rPr>
              <w:t>（2）</w:t>
            </w:r>
            <w:r>
              <w:rPr>
                <w:rFonts w:hint="default" w:ascii="仿宋" w:hAnsi="仿宋" w:eastAsia="仿宋" w:cs="仿宋"/>
                <w:b w:val="0"/>
                <w:bCs w:val="0"/>
                <w:color w:val="000000"/>
                <w:kern w:val="0"/>
                <w:sz w:val="24"/>
                <w:szCs w:val="24"/>
                <w:vertAlign w:val="baseline"/>
                <w:lang w:val="en-US" w:eastAsia="zh-CN"/>
              </w:rPr>
              <w:t>当储罐压力达表时，排出软管和进液管残液，严禁过量充装。</w:t>
            </w:r>
          </w:p>
        </w:tc>
      </w:tr>
    </w:tbl>
    <w:p>
      <w:pPr>
        <w:pStyle w:val="2"/>
        <w:numPr>
          <w:ilvl w:val="0"/>
          <w:numId w:val="0"/>
        </w:numPr>
        <w:ind w:leftChars="100"/>
        <w:rPr>
          <w:rFonts w:hint="default"/>
          <w:lang w:val="en-US" w:eastAsia="zh-CN"/>
        </w:rPr>
      </w:pPr>
    </w:p>
    <w:p>
      <w:pPr>
        <w:pStyle w:val="16"/>
        <w:numPr>
          <w:ilvl w:val="0"/>
          <w:numId w:val="3"/>
        </w:numPr>
        <w:ind w:firstLine="480"/>
        <w:jc w:val="both"/>
        <w:outlineLvl w:val="2"/>
        <w:rPr>
          <w:rFonts w:hint="eastAsia"/>
          <w:b/>
          <w:sz w:val="28"/>
          <w:lang w:val="en-US" w:eastAsia="zh-CN"/>
        </w:rPr>
      </w:pPr>
      <w:r>
        <w:rPr>
          <w:rFonts w:hint="eastAsia"/>
          <w:b/>
          <w:sz w:val="28"/>
          <w:lang w:val="en-US" w:eastAsia="zh-CN"/>
        </w:rPr>
        <w:t>采购项目商务要求</w:t>
      </w:r>
    </w:p>
    <w:p>
      <w:pPr>
        <w:pStyle w:val="16"/>
        <w:numPr>
          <w:ilvl w:val="0"/>
          <w:numId w:val="0"/>
        </w:numPr>
        <w:tabs>
          <w:tab w:val="left" w:pos="219"/>
        </w:tabs>
        <w:ind w:firstLine="422"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仿宋" w:hAnsi="仿宋" w:eastAsia="仿宋" w:cs="仿宋"/>
          <w:b/>
          <w:color w:val="000000"/>
          <w:sz w:val="21"/>
          <w:szCs w:val="21"/>
        </w:rPr>
        <w:t>★</w:t>
      </w:r>
      <w:r>
        <w:rPr>
          <w:rFonts w:hint="eastAsia" w:cstheme="minorBidi"/>
          <w:kern w:val="2"/>
          <w:sz w:val="24"/>
          <w:szCs w:val="21"/>
          <w:lang w:val="en-US" w:eastAsia="zh-CN" w:bidi="ar-SA"/>
        </w:rPr>
        <w:t>（一）</w:t>
      </w:r>
      <w:r>
        <w:rPr>
          <w:rFonts w:hint="eastAsia" w:asciiTheme="minorHAnsi" w:hAnsiTheme="minorHAnsi" w:eastAsiaTheme="minorEastAsia" w:cstheme="minorBidi"/>
          <w:kern w:val="2"/>
          <w:sz w:val="24"/>
          <w:szCs w:val="21"/>
          <w:lang w:val="en-US" w:eastAsia="zh-CN" w:bidi="ar-SA"/>
        </w:rPr>
        <w:t>权利保证</w:t>
      </w:r>
      <w:r>
        <w:rPr>
          <w:rFonts w:hint="eastAsia" w:asciiTheme="minorHAnsi" w:hAnsiTheme="minorHAnsi" w:eastAsiaTheme="minorEastAsia" w:cstheme="minorBidi"/>
          <w:kern w:val="2"/>
          <w:sz w:val="24"/>
          <w:szCs w:val="21"/>
          <w:lang w:val="en-US" w:eastAsia="zh-CN" w:bidi="ar-SA"/>
        </w:rPr>
        <w:tab/>
      </w:r>
    </w:p>
    <w:p>
      <w:pPr>
        <w:pStyle w:val="16"/>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卖方应保证出卖给买方的服务以及相关服务的任何部分非他人所有或与他人共有，未设有抵押权、租赁权，未侵犯他人的专利权、版权（法律上称：著作权）、商标权等知识产权，没有任何权利瑕疵。一旦卖方出卖的服务侵犯了任何第三人的合法权益，卖方应承担全部赔偿责任及买方因解决上述问题产生的支出（包括但不限于：诉讼费、律师费、交通费等费用）。</w:t>
      </w:r>
    </w:p>
    <w:p>
      <w:pPr>
        <w:pStyle w:val="16"/>
        <w:numPr>
          <w:ilvl w:val="0"/>
          <w:numId w:val="0"/>
        </w:numPr>
        <w:ind w:firstLine="422" w:firstLineChars="200"/>
        <w:jc w:val="both"/>
        <w:outlineLvl w:val="2"/>
        <w:rPr>
          <w:rFonts w:hint="default" w:asciiTheme="minorHAnsi" w:hAnsiTheme="minorHAnsi" w:eastAsiaTheme="minorEastAsia" w:cstheme="minorBidi"/>
          <w:kern w:val="2"/>
          <w:sz w:val="24"/>
          <w:szCs w:val="21"/>
          <w:lang w:val="en-US" w:eastAsia="zh-CN" w:bidi="ar-SA"/>
        </w:rPr>
      </w:pPr>
      <w:r>
        <w:rPr>
          <w:rFonts w:hint="eastAsia" w:ascii="仿宋" w:hAnsi="仿宋" w:eastAsia="仿宋" w:cs="仿宋"/>
          <w:b/>
          <w:color w:val="000000"/>
          <w:sz w:val="21"/>
          <w:szCs w:val="21"/>
        </w:rPr>
        <w:t>★</w:t>
      </w:r>
      <w:r>
        <w:rPr>
          <w:rFonts w:hint="eastAsia" w:cstheme="minorBidi"/>
          <w:kern w:val="2"/>
          <w:sz w:val="24"/>
          <w:szCs w:val="21"/>
          <w:lang w:val="en-US" w:eastAsia="zh-CN" w:bidi="ar-SA"/>
        </w:rPr>
        <w:t>（二）</w:t>
      </w:r>
      <w:r>
        <w:rPr>
          <w:rFonts w:hint="eastAsia" w:asciiTheme="minorHAnsi" w:hAnsiTheme="minorHAnsi" w:eastAsiaTheme="minorEastAsia" w:cstheme="minorBidi"/>
          <w:kern w:val="2"/>
          <w:sz w:val="24"/>
          <w:szCs w:val="21"/>
          <w:lang w:val="en-US" w:eastAsia="zh-CN" w:bidi="ar-SA"/>
        </w:rPr>
        <w:t>服务周期</w:t>
      </w:r>
      <w:r>
        <w:rPr>
          <w:rFonts w:hint="eastAsia" w:cstheme="minorBidi"/>
          <w:kern w:val="2"/>
          <w:sz w:val="24"/>
          <w:szCs w:val="21"/>
          <w:lang w:val="en-US" w:eastAsia="zh-CN" w:bidi="ar-SA"/>
        </w:rPr>
        <w:t>与地点</w:t>
      </w:r>
    </w:p>
    <w:p>
      <w:pPr>
        <w:pStyle w:val="16"/>
        <w:numPr>
          <w:ilvl w:val="0"/>
          <w:numId w:val="4"/>
        </w:numPr>
        <w:ind w:firstLine="480" w:firstLineChars="200"/>
        <w:jc w:val="both"/>
        <w:outlineLvl w:val="2"/>
        <w:rPr>
          <w:rFonts w:hint="eastAsia" w:cstheme="minorBidi"/>
          <w:kern w:val="2"/>
          <w:sz w:val="24"/>
          <w:szCs w:val="21"/>
          <w:lang w:val="en-US" w:eastAsia="zh-CN" w:bidi="ar-SA"/>
        </w:rPr>
      </w:pPr>
      <w:r>
        <w:rPr>
          <w:rFonts w:hint="eastAsia" w:cstheme="minorBidi"/>
          <w:kern w:val="2"/>
          <w:sz w:val="24"/>
          <w:szCs w:val="21"/>
          <w:lang w:val="en-US" w:eastAsia="zh-CN" w:bidi="ar-SA"/>
        </w:rPr>
        <w:t>周期：2024年9月1日至2025年2月28日</w:t>
      </w:r>
    </w:p>
    <w:p>
      <w:pPr>
        <w:pStyle w:val="16"/>
        <w:numPr>
          <w:ilvl w:val="0"/>
          <w:numId w:val="4"/>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地点：惠州市皮肤病防治研究所鹅岭、玉滩门诊（惠州市惠城区鹅岭北路横街2号、3号）。</w:t>
      </w:r>
    </w:p>
    <w:p>
      <w:pPr>
        <w:pStyle w:val="16"/>
        <w:numPr>
          <w:ilvl w:val="0"/>
          <w:numId w:val="0"/>
        </w:numPr>
        <w:ind w:firstLine="480" w:firstLineChars="200"/>
        <w:jc w:val="both"/>
        <w:outlineLvl w:val="2"/>
        <w:rPr>
          <w:rFonts w:hint="default" w:cstheme="minorBidi"/>
          <w:kern w:val="2"/>
          <w:sz w:val="24"/>
          <w:szCs w:val="21"/>
          <w:lang w:val="en-US" w:eastAsia="zh-CN" w:bidi="ar-SA"/>
        </w:rPr>
      </w:pPr>
      <w:r>
        <w:rPr>
          <w:rFonts w:hint="eastAsia" w:cstheme="minorBidi"/>
          <w:kern w:val="2"/>
          <w:sz w:val="24"/>
          <w:szCs w:val="21"/>
          <w:lang w:val="en-US" w:eastAsia="zh-CN" w:bidi="ar-SA"/>
        </w:rPr>
        <w:t>（三）付款方式</w:t>
      </w:r>
    </w:p>
    <w:p>
      <w:pPr>
        <w:pStyle w:val="16"/>
        <w:numPr>
          <w:ilvl w:val="0"/>
          <w:numId w:val="0"/>
        </w:numPr>
        <w:ind w:firstLine="480" w:firstLineChars="200"/>
        <w:jc w:val="both"/>
        <w:outlineLvl w:val="2"/>
        <w:rPr>
          <w:rFonts w:hint="default" w:asciiTheme="minorHAnsi" w:hAnsiTheme="minorHAnsi" w:eastAsiaTheme="minorEastAsia" w:cstheme="minorBidi"/>
          <w:kern w:val="2"/>
          <w:sz w:val="24"/>
          <w:szCs w:val="21"/>
          <w:lang w:val="en-US" w:eastAsia="zh-CN" w:bidi="ar-SA"/>
        </w:rPr>
      </w:pPr>
      <w:r>
        <w:rPr>
          <w:rFonts w:hint="default" w:asciiTheme="minorHAnsi" w:hAnsiTheme="minorHAnsi" w:eastAsiaTheme="minorEastAsia" w:cstheme="minorBidi"/>
          <w:kern w:val="2"/>
          <w:sz w:val="24"/>
          <w:szCs w:val="21"/>
          <w:lang w:val="en-US" w:eastAsia="zh-CN" w:bidi="ar-SA"/>
        </w:rPr>
        <w:t>按医院需求及时不间断提供，数量按实结算，按季度度支付，供应商在服务满一个季度后开具服务费</w:t>
      </w:r>
      <w:r>
        <w:rPr>
          <w:rFonts w:hint="eastAsia" w:cstheme="minorBidi"/>
          <w:kern w:val="2"/>
          <w:sz w:val="24"/>
          <w:szCs w:val="21"/>
          <w:lang w:val="en-US" w:eastAsia="zh-CN" w:bidi="ar-SA"/>
        </w:rPr>
        <w:t>对应的</w:t>
      </w:r>
      <w:r>
        <w:rPr>
          <w:rFonts w:hint="default" w:asciiTheme="minorHAnsi" w:hAnsiTheme="minorHAnsi" w:eastAsiaTheme="minorEastAsia" w:cstheme="minorBidi"/>
          <w:kern w:val="2"/>
          <w:sz w:val="24"/>
          <w:szCs w:val="21"/>
          <w:lang w:val="en-US" w:eastAsia="zh-CN" w:bidi="ar-SA"/>
        </w:rPr>
        <w:t>增值税普通发票，</w:t>
      </w:r>
      <w:r>
        <w:rPr>
          <w:rFonts w:hint="eastAsia" w:asciiTheme="minorHAnsi" w:hAnsiTheme="minorHAnsi" w:eastAsiaTheme="minorEastAsia" w:cstheme="minorBidi"/>
          <w:kern w:val="2"/>
          <w:sz w:val="24"/>
          <w:szCs w:val="21"/>
          <w:lang w:val="en-US" w:eastAsia="zh-CN" w:bidi="ar-SA"/>
        </w:rPr>
        <w:t>采购人</w:t>
      </w:r>
      <w:r>
        <w:rPr>
          <w:rFonts w:hint="default" w:asciiTheme="minorHAnsi" w:hAnsiTheme="minorHAnsi" w:eastAsiaTheme="minorEastAsia" w:cstheme="minorBidi"/>
          <w:kern w:val="2"/>
          <w:sz w:val="24"/>
          <w:szCs w:val="21"/>
          <w:lang w:val="en-US" w:eastAsia="zh-CN" w:bidi="ar-SA"/>
        </w:rPr>
        <w:t>收到发票后15日内向供应商支付</w:t>
      </w:r>
      <w:r>
        <w:rPr>
          <w:rFonts w:hint="eastAsia" w:cstheme="minorBidi"/>
          <w:kern w:val="2"/>
          <w:sz w:val="24"/>
          <w:szCs w:val="21"/>
          <w:lang w:val="en-US" w:eastAsia="zh-CN" w:bidi="ar-SA"/>
        </w:rPr>
        <w:t>服务费</w:t>
      </w:r>
      <w:r>
        <w:rPr>
          <w:rFonts w:hint="default" w:asciiTheme="minorHAnsi" w:hAnsiTheme="minorHAnsi" w:eastAsiaTheme="minorEastAsia" w:cstheme="minorBidi"/>
          <w:kern w:val="2"/>
          <w:sz w:val="24"/>
          <w:szCs w:val="21"/>
          <w:lang w:val="en-US" w:eastAsia="zh-CN" w:bidi="ar-SA"/>
        </w:rPr>
        <w:t>。</w:t>
      </w:r>
    </w:p>
    <w:p>
      <w:pPr>
        <w:pStyle w:val="16"/>
        <w:numPr>
          <w:ilvl w:val="0"/>
          <w:numId w:val="0"/>
        </w:numPr>
        <w:ind w:firstLine="480" w:firstLineChars="200"/>
        <w:jc w:val="both"/>
        <w:outlineLvl w:val="2"/>
        <w:rPr>
          <w:rFonts w:hint="default"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（四）配送要求</w:t>
      </w:r>
    </w:p>
    <w:p>
      <w:pPr>
        <w:pStyle w:val="16"/>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1.</w:t>
      </w:r>
      <w:r>
        <w:rPr>
          <w:rFonts w:hint="eastAsia" w:asciiTheme="minorHAnsi" w:hAnsiTheme="minorHAnsi" w:eastAsiaTheme="minorEastAsia" w:cstheme="minorBidi"/>
          <w:kern w:val="2"/>
          <w:sz w:val="24"/>
          <w:szCs w:val="21"/>
          <w:lang w:val="en-US" w:eastAsia="zh-CN" w:bidi="ar-SA"/>
        </w:rPr>
        <w:t>由供应商危化品专业运输车辆送气体到采购人指定的库房内，由采购人指定人员签名接收，回单作结算依据。</w:t>
      </w:r>
    </w:p>
    <w:p>
      <w:pPr>
        <w:pStyle w:val="16"/>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2.</w:t>
      </w:r>
      <w:r>
        <w:rPr>
          <w:rFonts w:hint="eastAsia" w:asciiTheme="minorHAnsi" w:hAnsiTheme="minorHAnsi" w:eastAsiaTheme="minorEastAsia" w:cstheme="minorBidi"/>
          <w:kern w:val="2"/>
          <w:sz w:val="24"/>
          <w:szCs w:val="21"/>
          <w:lang w:val="en-US" w:eastAsia="zh-CN" w:bidi="ar-SA"/>
        </w:rPr>
        <w:t>供应商必须足量保质、按时供货，供应商不得以市场行情紧张等为借口，少送或迟送采购人通知的送货量。</w:t>
      </w:r>
    </w:p>
    <w:p>
      <w:pPr>
        <w:pStyle w:val="16"/>
        <w:numPr>
          <w:ilvl w:val="0"/>
          <w:numId w:val="0"/>
        </w:numPr>
        <w:ind w:firstLine="480" w:firstLineChars="200"/>
        <w:jc w:val="both"/>
        <w:outlineLvl w:val="2"/>
        <w:rPr>
          <w:rFonts w:hint="default"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3.如遇紧急情况，供应商2小时内响应，4小时内配送至服务地点。</w:t>
      </w:r>
    </w:p>
    <w:p>
      <w:pPr>
        <w:pStyle w:val="16"/>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（五）违约责任</w:t>
      </w:r>
    </w:p>
    <w:p>
      <w:pPr>
        <w:pStyle w:val="16"/>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1.对不符合质量要求和标识要求的货品，采购人有权拒收，供应商应在6小时内给予退换。</w:t>
      </w:r>
    </w:p>
    <w:p>
      <w:pPr>
        <w:pStyle w:val="16"/>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2.如采购人接收产品后在使用过程中发生事故，则由第三方进行鉴定及仲裁，双方按照鉴定结果承担相应责任。</w:t>
      </w:r>
    </w:p>
    <w:p>
      <w:pPr>
        <w:pStyle w:val="16"/>
        <w:numPr>
          <w:ilvl w:val="0"/>
          <w:numId w:val="0"/>
        </w:numPr>
        <w:ind w:firstLine="480" w:firstLineChars="200"/>
        <w:jc w:val="both"/>
        <w:outlineLvl w:val="2"/>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3.因不可抗因素致供应商暂时性不能自行提供产品，供应商必须无条件协助采购人解决用气问题。</w:t>
      </w:r>
    </w:p>
    <w:p>
      <w:pPr>
        <w:pStyle w:val="16"/>
        <w:numPr>
          <w:ilvl w:val="0"/>
          <w:numId w:val="3"/>
        </w:numPr>
        <w:ind w:firstLine="480"/>
        <w:jc w:val="both"/>
        <w:outlineLvl w:val="2"/>
        <w:rPr>
          <w:rFonts w:hint="default"/>
          <w:b/>
          <w:sz w:val="28"/>
          <w:lang w:val="en-US" w:eastAsia="zh-CN"/>
        </w:rPr>
      </w:pPr>
      <w:r>
        <w:rPr>
          <w:rFonts w:hint="eastAsia"/>
          <w:b/>
          <w:sz w:val="28"/>
          <w:lang w:val="en-US" w:eastAsia="zh-CN"/>
        </w:rPr>
        <w:t>议价（唯一来源）须知</w:t>
      </w:r>
    </w:p>
    <w:p>
      <w:pPr>
        <w:pStyle w:val="16"/>
        <w:numPr>
          <w:ilvl w:val="0"/>
          <w:numId w:val="0"/>
        </w:numPr>
        <w:ind w:firstLine="480" w:firstLineChars="200"/>
        <w:jc w:val="both"/>
        <w:outlineLvl w:val="2"/>
        <w:rPr>
          <w:rFonts w:hint="default" w:cstheme="minorBidi"/>
          <w:kern w:val="2"/>
          <w:sz w:val="24"/>
          <w:szCs w:val="21"/>
          <w:lang w:val="en-US" w:eastAsia="zh-CN" w:bidi="ar-SA"/>
        </w:rPr>
      </w:pPr>
      <w:r>
        <w:rPr>
          <w:rFonts w:hint="default" w:cstheme="minorBidi"/>
          <w:kern w:val="2"/>
          <w:sz w:val="24"/>
          <w:szCs w:val="21"/>
          <w:lang w:val="en-US" w:eastAsia="zh-CN" w:bidi="ar-SA"/>
        </w:rPr>
        <w:t>1</w:t>
      </w:r>
      <w:r>
        <w:rPr>
          <w:rFonts w:hint="eastAsia" w:cstheme="minorBidi"/>
          <w:kern w:val="2"/>
          <w:sz w:val="24"/>
          <w:szCs w:val="21"/>
          <w:lang w:val="en-US" w:eastAsia="zh-CN" w:bidi="ar-SA"/>
        </w:rPr>
        <w:t>.</w:t>
      </w:r>
      <w:r>
        <w:rPr>
          <w:rFonts w:hint="default" w:cstheme="minorBidi"/>
          <w:kern w:val="2"/>
          <w:sz w:val="24"/>
          <w:szCs w:val="21"/>
          <w:lang w:val="en-US" w:eastAsia="zh-CN" w:bidi="ar-SA"/>
        </w:rPr>
        <w:t>本采购项目中标注★号的内容为实质性要求和条件，如响应供应商所投标货物、服务与具体要求存在负偏离，且</w:t>
      </w:r>
      <w:r>
        <w:rPr>
          <w:rFonts w:hint="eastAsia" w:cstheme="minorBidi"/>
          <w:kern w:val="2"/>
          <w:sz w:val="24"/>
          <w:szCs w:val="21"/>
          <w:lang w:val="en-US" w:eastAsia="zh-CN" w:bidi="ar-SA"/>
        </w:rPr>
        <w:t>评审小组</w:t>
      </w:r>
      <w:r>
        <w:rPr>
          <w:rFonts w:hint="default" w:cstheme="minorBidi"/>
          <w:kern w:val="2"/>
          <w:sz w:val="24"/>
          <w:szCs w:val="21"/>
          <w:lang w:val="en-US" w:eastAsia="zh-CN" w:bidi="ar-SA"/>
        </w:rPr>
        <w:t>认为该负偏离将对采购单位使用造成重大影响的，</w:t>
      </w:r>
      <w:r>
        <w:rPr>
          <w:rFonts w:hint="eastAsia" w:cstheme="minorBidi"/>
          <w:kern w:val="2"/>
          <w:sz w:val="24"/>
          <w:szCs w:val="21"/>
          <w:lang w:val="en-US" w:eastAsia="zh-CN" w:bidi="ar-SA"/>
        </w:rPr>
        <w:t>评审小组</w:t>
      </w:r>
      <w:r>
        <w:rPr>
          <w:rFonts w:hint="default" w:cstheme="minorBidi"/>
          <w:kern w:val="2"/>
          <w:sz w:val="24"/>
          <w:szCs w:val="21"/>
          <w:lang w:val="en-US" w:eastAsia="zh-CN" w:bidi="ar-SA"/>
        </w:rPr>
        <w:t>在符合性审查时将不予通过，确定为响应无效。</w:t>
      </w:r>
    </w:p>
    <w:p>
      <w:pPr>
        <w:pStyle w:val="16"/>
        <w:numPr>
          <w:ilvl w:val="0"/>
          <w:numId w:val="0"/>
        </w:numPr>
        <w:ind w:firstLine="480" w:firstLineChars="200"/>
        <w:jc w:val="both"/>
        <w:outlineLvl w:val="2"/>
        <w:rPr>
          <w:rFonts w:hint="default" w:cstheme="minorBidi"/>
          <w:kern w:val="2"/>
          <w:sz w:val="24"/>
          <w:szCs w:val="21"/>
          <w:lang w:val="en-US" w:eastAsia="zh-CN" w:bidi="ar-SA"/>
        </w:rPr>
      </w:pPr>
      <w:r>
        <w:rPr>
          <w:rFonts w:hint="default" w:cstheme="minorBidi"/>
          <w:kern w:val="2"/>
          <w:sz w:val="24"/>
          <w:szCs w:val="21"/>
          <w:lang w:val="en-US" w:eastAsia="zh-CN" w:bidi="ar-SA"/>
        </w:rPr>
        <w:t>响应供应商必须严格按照投标/响应文件的所有响应内容进行填写，如不能填写请提供说明。</w:t>
      </w:r>
    </w:p>
    <w:p>
      <w:pPr>
        <w:pStyle w:val="16"/>
        <w:numPr>
          <w:ilvl w:val="0"/>
          <w:numId w:val="0"/>
        </w:numPr>
        <w:ind w:firstLine="480" w:firstLineChars="200"/>
        <w:jc w:val="both"/>
        <w:outlineLvl w:val="2"/>
        <w:rPr>
          <w:rFonts w:hint="default" w:cstheme="minorBidi"/>
          <w:kern w:val="2"/>
          <w:sz w:val="24"/>
          <w:szCs w:val="21"/>
          <w:lang w:val="en-US" w:eastAsia="zh-CN" w:bidi="ar-SA"/>
        </w:rPr>
      </w:pPr>
      <w:r>
        <w:rPr>
          <w:rFonts w:hint="default" w:cstheme="minorBidi"/>
          <w:kern w:val="2"/>
          <w:sz w:val="24"/>
          <w:szCs w:val="21"/>
          <w:lang w:val="en-US" w:eastAsia="zh-CN" w:bidi="ar-SA"/>
        </w:rPr>
        <w:t>2</w:t>
      </w:r>
      <w:r>
        <w:rPr>
          <w:rFonts w:hint="eastAsia" w:cstheme="minorBidi"/>
          <w:kern w:val="2"/>
          <w:sz w:val="24"/>
          <w:szCs w:val="21"/>
          <w:lang w:val="en-US" w:eastAsia="zh-CN" w:bidi="ar-SA"/>
        </w:rPr>
        <w:t>.</w:t>
      </w:r>
      <w:r>
        <w:rPr>
          <w:rFonts w:hint="default" w:cstheme="minorBidi"/>
          <w:kern w:val="2"/>
          <w:sz w:val="24"/>
          <w:szCs w:val="21"/>
          <w:lang w:val="en-US" w:eastAsia="zh-CN" w:bidi="ar-SA"/>
        </w:rPr>
        <w:t>响应供应商必须满足上述标“★”技术参数条款，同时需满足所有一般性技术参数条款要求，一般性技术参数若有个别负偏离，由</w:t>
      </w:r>
      <w:r>
        <w:rPr>
          <w:rFonts w:hint="eastAsia" w:cstheme="minorBidi"/>
          <w:kern w:val="2"/>
          <w:sz w:val="24"/>
          <w:szCs w:val="21"/>
          <w:lang w:val="en-US" w:eastAsia="zh-CN" w:bidi="ar-SA"/>
        </w:rPr>
        <w:t>评审小组</w:t>
      </w:r>
      <w:r>
        <w:rPr>
          <w:rFonts w:hint="default" w:cstheme="minorBidi"/>
          <w:kern w:val="2"/>
          <w:sz w:val="24"/>
          <w:szCs w:val="21"/>
          <w:lang w:val="en-US" w:eastAsia="zh-CN" w:bidi="ar-SA"/>
        </w:rPr>
        <w:t>视用户需求影响程度讨论决定是否响应无效。应尽可能满足商务条款中非标“★”的一般性商务条款，负偏离最多不得超过两个。</w:t>
      </w:r>
    </w:p>
    <w:p>
      <w:pPr>
        <w:pStyle w:val="16"/>
        <w:numPr>
          <w:ilvl w:val="0"/>
          <w:numId w:val="0"/>
        </w:numPr>
        <w:ind w:firstLine="480" w:firstLineChars="200"/>
        <w:jc w:val="both"/>
        <w:outlineLvl w:val="2"/>
        <w:rPr>
          <w:rFonts w:hint="default" w:cstheme="minorBidi"/>
          <w:kern w:val="2"/>
          <w:sz w:val="24"/>
          <w:szCs w:val="21"/>
          <w:lang w:val="en-US" w:eastAsia="zh-CN" w:bidi="ar-SA"/>
        </w:rPr>
      </w:pPr>
    </w:p>
    <w:p>
      <w:pPr>
        <w:pStyle w:val="16"/>
        <w:numPr>
          <w:ilvl w:val="0"/>
          <w:numId w:val="0"/>
        </w:numPr>
        <w:ind w:firstLine="480" w:firstLineChars="200"/>
        <w:jc w:val="both"/>
        <w:outlineLvl w:val="2"/>
        <w:rPr>
          <w:rFonts w:hint="eastAsia" w:cstheme="minorBidi"/>
          <w:kern w:val="2"/>
          <w:sz w:val="24"/>
          <w:szCs w:val="21"/>
          <w:lang w:val="en-US" w:eastAsia="zh-CN" w:bidi="ar-SA"/>
        </w:rPr>
      </w:pPr>
    </w:p>
    <w:p>
      <w:pPr>
        <w:pStyle w:val="16"/>
        <w:numPr>
          <w:ilvl w:val="0"/>
          <w:numId w:val="0"/>
        </w:numPr>
        <w:ind w:firstLine="480" w:firstLineChars="200"/>
        <w:jc w:val="both"/>
        <w:outlineLvl w:val="2"/>
        <w:rPr>
          <w:rFonts w:hint="default" w:cstheme="minorBidi"/>
          <w:kern w:val="2"/>
          <w:sz w:val="24"/>
          <w:szCs w:val="21"/>
          <w:lang w:val="en-US" w:eastAsia="zh-CN" w:bidi="ar-SA"/>
        </w:rPr>
      </w:pPr>
    </w:p>
    <w:p>
      <w:pPr>
        <w:pStyle w:val="16"/>
        <w:numPr>
          <w:ilvl w:val="0"/>
          <w:numId w:val="0"/>
        </w:numPr>
        <w:ind w:firstLine="480" w:firstLineChars="200"/>
        <w:jc w:val="both"/>
        <w:outlineLvl w:val="2"/>
        <w:rPr>
          <w:rFonts w:hint="default" w:cstheme="minorBidi"/>
          <w:kern w:val="2"/>
          <w:sz w:val="24"/>
          <w:szCs w:val="21"/>
          <w:lang w:val="en-US" w:eastAsia="zh-CN" w:bidi="ar-SA"/>
        </w:rPr>
      </w:pPr>
    </w:p>
    <w:p>
      <w:pPr>
        <w:pStyle w:val="16"/>
        <w:numPr>
          <w:ilvl w:val="0"/>
          <w:numId w:val="0"/>
        </w:numPr>
        <w:ind w:firstLine="480" w:firstLineChars="200"/>
        <w:jc w:val="both"/>
        <w:outlineLvl w:val="2"/>
        <w:rPr>
          <w:rFonts w:hint="eastAsia" w:cstheme="minorBidi"/>
          <w:kern w:val="2"/>
          <w:sz w:val="24"/>
          <w:szCs w:val="21"/>
          <w:lang w:val="en-US" w:eastAsia="zh-CN" w:bidi="ar-SA"/>
        </w:rPr>
      </w:pPr>
    </w:p>
    <w:p>
      <w:pPr>
        <w:pStyle w:val="16"/>
      </w:pPr>
      <w:r>
        <w:t xml:space="preserve"> </w:t>
      </w:r>
      <w:r>
        <w:br w:type="textWrapping"/>
      </w:r>
      <w:r>
        <w:br w:type="page"/>
      </w:r>
    </w:p>
    <w:p>
      <w:pPr>
        <w:pStyle w:val="16"/>
        <w:numPr>
          <w:ilvl w:val="0"/>
          <w:numId w:val="5"/>
        </w:numPr>
        <w:jc w:val="center"/>
        <w:outlineLvl w:val="1"/>
        <w:rPr>
          <w:rFonts w:hint="eastAsia" w:asciiTheme="minorHAnsi" w:hAnsiTheme="minorHAnsi" w:eastAsiaTheme="minorEastAsia" w:cstheme="minorBidi"/>
          <w:b/>
          <w:kern w:val="2"/>
          <w:sz w:val="36"/>
          <w:szCs w:val="24"/>
          <w:lang w:val="en-US" w:eastAsia="zh-CN" w:bidi="ar-SA"/>
        </w:rPr>
      </w:pPr>
      <w:r>
        <w:rPr>
          <w:rFonts w:hint="eastAsia" w:cstheme="minorBidi"/>
          <w:b/>
          <w:kern w:val="2"/>
          <w:sz w:val="36"/>
          <w:szCs w:val="24"/>
          <w:lang w:val="en-US" w:eastAsia="zh-CN" w:bidi="ar-SA"/>
        </w:rPr>
        <w:t>议价（唯一来源）</w:t>
      </w:r>
      <w:r>
        <w:rPr>
          <w:rFonts w:hint="eastAsia" w:asciiTheme="minorHAnsi" w:hAnsiTheme="minorHAnsi" w:eastAsiaTheme="minorEastAsia" w:cstheme="minorBidi"/>
          <w:b/>
          <w:kern w:val="2"/>
          <w:sz w:val="36"/>
          <w:szCs w:val="24"/>
          <w:lang w:val="en-US" w:eastAsia="zh-CN" w:bidi="ar-SA"/>
        </w:rPr>
        <w:t>采购程序、成交的标准、无效报价及采购终止</w:t>
      </w:r>
    </w:p>
    <w:p>
      <w:pPr>
        <w:keepNext/>
        <w:keepLines/>
        <w:widowControl w:val="0"/>
        <w:adjustRightInd w:val="0"/>
        <w:snapToGrid w:val="0"/>
        <w:spacing w:before="0" w:after="0" w:line="400" w:lineRule="exact"/>
        <w:ind w:firstLine="480" w:firstLineChars="200"/>
        <w:jc w:val="both"/>
        <w:outlineLvl w:val="1"/>
        <w:rPr>
          <w:rFonts w:ascii="方正仿宋_GBK" w:hAnsi="宋体" w:eastAsia="方正仿宋_GBK" w:cs="Times New Roman"/>
          <w:b/>
          <w:kern w:val="2"/>
          <w:sz w:val="24"/>
          <w:lang w:val="en-US" w:eastAsia="zh-CN" w:bidi="ar-SA"/>
        </w:rPr>
      </w:pPr>
      <w:bookmarkStart w:id="11" w:name="_Toc9361"/>
      <w:bookmarkStart w:id="12" w:name="_Toc27932"/>
      <w:bookmarkStart w:id="13" w:name="_Toc5167"/>
      <w:bookmarkStart w:id="14" w:name="_Toc64732012"/>
      <w:bookmarkStart w:id="15" w:name="_Toc106034790"/>
      <w:bookmarkStart w:id="16" w:name="_Toc65660350"/>
      <w:r>
        <w:rPr>
          <w:rFonts w:hint="eastAsia" w:ascii="方正仿宋_GBK" w:hAnsi="宋体" w:eastAsia="方正仿宋_GBK" w:cs="Times New Roman"/>
          <w:b/>
          <w:kern w:val="2"/>
          <w:sz w:val="24"/>
          <w:lang w:val="en-US" w:eastAsia="zh-CN" w:bidi="ar-SA"/>
        </w:rPr>
        <w:t>一、采购程序</w:t>
      </w:r>
      <w:bookmarkEnd w:id="11"/>
      <w:bookmarkEnd w:id="12"/>
      <w:bookmarkEnd w:id="13"/>
      <w:bookmarkEnd w:id="14"/>
      <w:bookmarkEnd w:id="15"/>
      <w:bookmarkEnd w:id="16"/>
    </w:p>
    <w:p>
      <w:pPr>
        <w:widowControl w:val="0"/>
        <w:snapToGrid w:val="0"/>
        <w:spacing w:line="400" w:lineRule="exact"/>
        <w:ind w:firstLine="480" w:firstLineChars="200"/>
        <w:jc w:val="both"/>
        <w:rPr>
          <w:rFonts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（一）由项目归口部门负责人、使用科室负责人和议价（唯一来源）前一天随机抽取一名（如使用科室和管理部门同为一个部门情况下，则抽取两名）专家组成评审小组。</w:t>
      </w:r>
    </w:p>
    <w:p>
      <w:pPr>
        <w:widowControl w:val="0"/>
        <w:snapToGrid w:val="0"/>
        <w:spacing w:line="400" w:lineRule="exact"/>
        <w:ind w:firstLine="480" w:firstLineChars="200"/>
        <w:jc w:val="both"/>
        <w:rPr>
          <w:rFonts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 xml:space="preserve">（二）由评审小组按采购文件规定的条件和要求，通过资格、符合性审查后与议价（唯一来源）供应商遵循物有所值、平等互利的原则，在保证采购项目质量基础上谈判合理价格，并做好相关记录形成议价（唯一来源）报告。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Times New Roman"/>
          <w:sz w:val="24"/>
          <w:szCs w:val="24"/>
        </w:rPr>
        <w:t>1.资格性审查。依据法律法规和采购文件的规定，对响应文件中的资格证明材料等进行审查。资格性审查内容如下：</w:t>
      </w:r>
    </w:p>
    <w:tbl>
      <w:tblPr>
        <w:tblStyle w:val="13"/>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944"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法定代表人/负责人资格证明书及授权委托书</w:t>
            </w:r>
          </w:p>
        </w:tc>
        <w:tc>
          <w:tcPr>
            <w:tcW w:w="594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仿宋" w:eastAsia="方正仿宋_GBK" w:cs="Times New Roman"/>
                <w:sz w:val="21"/>
                <w:szCs w:val="21"/>
              </w:rPr>
            </w:pPr>
            <w:r>
              <w:rPr>
                <w:rFonts w:hint="eastAsia" w:ascii="方正仿宋_GBK" w:hAnsi="仿宋" w:eastAsia="方正仿宋_GBK" w:cs="Times New Roman"/>
                <w:sz w:val="21"/>
                <w:szCs w:val="21"/>
              </w:rPr>
              <w:t>按对应格式文件</w:t>
            </w:r>
            <w:r>
              <w:rPr>
                <w:rFonts w:hint="eastAsia" w:ascii="方正仿宋_GBK" w:hAnsi="仿宋" w:eastAsia="方正仿宋_GBK" w:cs="Times New Roman"/>
                <w:sz w:val="21"/>
                <w:szCs w:val="21"/>
                <w:lang w:val="en-US" w:eastAsia="zh-CN"/>
              </w:rPr>
              <w:t>填写、</w:t>
            </w:r>
            <w:r>
              <w:rPr>
                <w:rFonts w:hint="eastAsia" w:ascii="方正仿宋_GBK" w:hAnsi="仿宋" w:eastAsia="方正仿宋_GBK" w:cs="Times New Roman"/>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Merge w:val="restart"/>
            <w:vAlign w:val="center"/>
          </w:tcPr>
          <w:p>
            <w:pPr>
              <w:rPr>
                <w:rFonts w:ascii="方正仿宋_GBK" w:hAnsi="仿宋" w:eastAsia="方正仿宋_GBK" w:cs="Times New Roman"/>
                <w:sz w:val="21"/>
                <w:szCs w:val="21"/>
              </w:rPr>
            </w:pPr>
            <w:r>
              <w:rPr>
                <w:rFonts w:hint="eastAsia" w:ascii="方正仿宋_GBK" w:hAnsi="仿宋" w:eastAsia="方正仿宋_GBK" w:cs="Times New Roman"/>
                <w:sz w:val="21"/>
                <w:szCs w:val="21"/>
              </w:rPr>
              <w:t>《中华人民共和国政府采购法》第二十二条规定</w:t>
            </w:r>
          </w:p>
        </w:tc>
        <w:tc>
          <w:tcPr>
            <w:tcW w:w="5944" w:type="dxa"/>
            <w:vAlign w:val="center"/>
          </w:tcPr>
          <w:p>
            <w:pPr>
              <w:rPr>
                <w:rFonts w:hint="eastAsia" w:ascii="方正仿宋_GBK" w:hAnsi="仿宋" w:eastAsia="方正仿宋_GBK" w:cs="Times New Roman"/>
                <w:sz w:val="21"/>
                <w:szCs w:val="21"/>
                <w:lang w:val="en-US" w:eastAsia="zh-CN"/>
              </w:rPr>
            </w:pPr>
            <w:r>
              <w:rPr>
                <w:rFonts w:hint="eastAsia" w:ascii="方正仿宋_GBK" w:hAnsi="仿宋" w:eastAsia="方正仿宋_GBK" w:cs="Times New Roman"/>
                <w:sz w:val="21"/>
                <w:szCs w:val="21"/>
              </w:rPr>
              <w:t xml:space="preserve">1.供应商法人营业执照（副本）或事业单位法人证书（副本）或个体工商户营业执照（提供复印件）。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44" w:type="dxa"/>
            <w:vMerge w:val="continue"/>
            <w:vAlign w:val="center"/>
          </w:tcPr>
          <w:p>
            <w:pPr>
              <w:rPr>
                <w:rFonts w:ascii="方正仿宋_GBK" w:hAnsi="仿宋" w:eastAsia="方正仿宋_GBK" w:cs="Times New Roman"/>
                <w:sz w:val="21"/>
                <w:szCs w:val="21"/>
              </w:rPr>
            </w:pPr>
          </w:p>
        </w:tc>
        <w:tc>
          <w:tcPr>
            <w:tcW w:w="5944" w:type="dxa"/>
            <w:vAlign w:val="center"/>
          </w:tcPr>
          <w:p>
            <w:pPr>
              <w:rPr>
                <w:rFonts w:hint="default" w:ascii="方正仿宋_GBK" w:hAnsi="仿宋" w:eastAsia="方正仿宋_GBK" w:cs="Times New Roman"/>
                <w:b/>
                <w:sz w:val="21"/>
                <w:szCs w:val="21"/>
                <w:lang w:val="en-US" w:eastAsia="zh-CN"/>
              </w:rPr>
            </w:pPr>
            <w:r>
              <w:rPr>
                <w:rFonts w:hint="eastAsia" w:ascii="方正仿宋_GBK" w:hAnsi="仿宋" w:eastAsia="方正仿宋_GBK" w:cs="Times New Roman"/>
                <w:sz w:val="21"/>
                <w:szCs w:val="21"/>
                <w:lang w:val="en-US" w:eastAsia="zh-CN"/>
              </w:rPr>
              <w:t>2.基本资格条件承诺函。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544" w:type="dxa"/>
            <w:vMerge w:val="restart"/>
            <w:vAlign w:val="center"/>
          </w:tcPr>
          <w:p>
            <w:pPr>
              <w:rPr>
                <w:rFonts w:ascii="方正仿宋_GBK" w:hAnsi="仿宋" w:eastAsia="方正仿宋_GBK" w:cs="Times New Roman"/>
                <w:sz w:val="21"/>
                <w:szCs w:val="21"/>
              </w:rPr>
            </w:pPr>
            <w:r>
              <w:rPr>
                <w:rFonts w:hint="eastAsia" w:ascii="方正仿宋_GBK" w:hAnsi="仿宋" w:eastAsia="方正仿宋_GBK" w:cs="Times New Roman"/>
                <w:sz w:val="21"/>
                <w:szCs w:val="21"/>
              </w:rPr>
              <w:t>本项目的特定资格要求</w:t>
            </w:r>
          </w:p>
        </w:tc>
        <w:tc>
          <w:tcPr>
            <w:tcW w:w="5944" w:type="dxa"/>
            <w:vAlign w:val="center"/>
          </w:tcPr>
          <w:p>
            <w:pPr>
              <w:rPr>
                <w:rFonts w:hint="default" w:ascii="方正仿宋_GBK" w:hAnsi="仿宋" w:eastAsia="方正仿宋_GBK" w:cs="Times New Roman"/>
                <w:sz w:val="21"/>
                <w:szCs w:val="21"/>
                <w:lang w:val="en-US" w:eastAsia="zh-CN"/>
              </w:rPr>
            </w:pPr>
            <w:r>
              <w:rPr>
                <w:rFonts w:hint="eastAsia" w:ascii="方正仿宋_GBK" w:hAnsi="仿宋" w:eastAsia="方正仿宋_GBK" w:cs="Times New Roman"/>
                <w:sz w:val="21"/>
                <w:szCs w:val="21"/>
                <w:lang w:val="en-US" w:eastAsia="zh-CN"/>
              </w:rPr>
              <w:t xml:space="preserve">1.供应商是医用气体生产企业或经有效授权的医用气体代销企业。（代理商报价应提供有效的授权书或代理证明）：供应商必须具备《危险化学品经营许可证》、《气瓶充装许可证》和《道路运输经营许可证》（证书中必须有注明危险货物运输经营范围∶液体氮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544" w:type="dxa"/>
            <w:vMerge w:val="continue"/>
            <w:vAlign w:val="center"/>
          </w:tcPr>
          <w:p>
            <w:pPr>
              <w:rPr>
                <w:rFonts w:hint="eastAsia" w:ascii="方正仿宋_GBK" w:hAnsi="仿宋" w:eastAsia="方正仿宋_GBK" w:cs="Times New Roman"/>
                <w:sz w:val="21"/>
                <w:szCs w:val="21"/>
              </w:rPr>
            </w:pPr>
          </w:p>
        </w:tc>
        <w:tc>
          <w:tcPr>
            <w:tcW w:w="5944" w:type="dxa"/>
            <w:vAlign w:val="center"/>
          </w:tcPr>
          <w:p>
            <w:pPr>
              <w:rPr>
                <w:rFonts w:hint="eastAsia" w:ascii="方正仿宋_GBK" w:hAnsi="仿宋" w:eastAsia="方正仿宋_GBK" w:cs="Times New Roman"/>
                <w:sz w:val="21"/>
                <w:szCs w:val="21"/>
                <w:lang w:val="en-US" w:eastAsia="zh-CN"/>
              </w:rPr>
            </w:pPr>
            <w:r>
              <w:rPr>
                <w:rFonts w:hint="eastAsia" w:ascii="方正仿宋_GBK" w:hAnsi="仿宋" w:eastAsia="方正仿宋_GBK" w:cs="Times New Roman"/>
                <w:sz w:val="21"/>
                <w:szCs w:val="21"/>
                <w:lang w:val="en-US" w:eastAsia="zh-CN"/>
              </w:rPr>
              <w:t>2.生产厂家必须具备《药品生产许可证》、《药品GMP证书》、《药品注册批件》等规定的证照，证书中应注明相关范围∶医用氧（气态氧）;氮（压缩、液化气体）。</w:t>
            </w:r>
          </w:p>
        </w:tc>
      </w:tr>
    </w:tbl>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实质性审查。</w:t>
      </w:r>
      <w:r>
        <w:rPr>
          <w:rFonts w:hint="eastAsia" w:ascii="方正仿宋_GBK" w:hAnsi="宋体" w:eastAsia="方正仿宋_GBK"/>
          <w:sz w:val="24"/>
          <w:szCs w:val="24"/>
          <w:lang w:eastAsia="zh-CN"/>
        </w:rPr>
        <w:t>评审小组</w:t>
      </w:r>
      <w:r>
        <w:rPr>
          <w:rFonts w:hint="eastAsia" w:ascii="方正仿宋_GBK" w:hAnsi="宋体" w:eastAsia="方正仿宋_GBK"/>
          <w:sz w:val="24"/>
          <w:szCs w:val="24"/>
        </w:rPr>
        <w:t>应当对</w:t>
      </w:r>
      <w:r>
        <w:rPr>
          <w:rFonts w:hint="eastAsia" w:ascii="方正仿宋_GBK" w:hAnsi="宋体" w:eastAsia="方正仿宋_GBK"/>
          <w:sz w:val="24"/>
          <w:szCs w:val="24"/>
          <w:lang w:val="en-US" w:eastAsia="zh-CN"/>
        </w:rPr>
        <w:t>比价</w:t>
      </w:r>
      <w:r>
        <w:rPr>
          <w:rFonts w:hint="eastAsia" w:ascii="方正仿宋_GBK" w:hAnsi="宋体" w:eastAsia="方正仿宋_GBK"/>
          <w:sz w:val="24"/>
          <w:szCs w:val="24"/>
        </w:rPr>
        <w:t>响应文件进行评审，并根据采购文件规定的采购程序、</w:t>
      </w:r>
      <w:r>
        <w:rPr>
          <w:rFonts w:hint="eastAsia" w:ascii="方正仿宋_GBK" w:hAnsi="宋体" w:eastAsia="方正仿宋_GBK"/>
          <w:sz w:val="24"/>
          <w:szCs w:val="24"/>
          <w:lang w:val="en-US" w:eastAsia="zh-CN"/>
        </w:rPr>
        <w:t>比价</w:t>
      </w:r>
      <w:r>
        <w:rPr>
          <w:rFonts w:hint="eastAsia" w:ascii="方正仿宋_GBK" w:hAnsi="宋体" w:eastAsia="方正仿宋_GBK"/>
          <w:sz w:val="24"/>
          <w:szCs w:val="24"/>
        </w:rPr>
        <w:t>成交的标准等事项与实质性响应采购文件要求的供应商进行评审。未实质性响应的响应文件按无效处理，</w:t>
      </w:r>
      <w:r>
        <w:rPr>
          <w:rFonts w:hint="eastAsia" w:ascii="方正仿宋_GBK" w:hAnsi="宋体" w:eastAsia="方正仿宋_GBK"/>
          <w:sz w:val="24"/>
          <w:szCs w:val="24"/>
          <w:lang w:eastAsia="zh-CN"/>
        </w:rPr>
        <w:t>评审小组</w:t>
      </w:r>
      <w:r>
        <w:rPr>
          <w:rFonts w:hint="eastAsia" w:ascii="方正仿宋_GBK" w:hAnsi="宋体" w:eastAsia="方正仿宋_GBK"/>
          <w:sz w:val="24"/>
          <w:szCs w:val="24"/>
        </w:rPr>
        <w:t>应当告知有关供应商。实质性响应审查内容如下：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hint="eastAsia" w:ascii="方正仿宋_GBK" w:hAnsi="宋体" w:eastAsia="方正仿宋_GBK" w:cs="宋体"/>
                <w:kern w:val="0"/>
                <w:sz w:val="21"/>
                <w:szCs w:val="21"/>
                <w:lang w:eastAsia="zh-CN"/>
              </w:rPr>
            </w:pPr>
            <w:r>
              <w:rPr>
                <w:rFonts w:hint="eastAsia" w:ascii="方正仿宋_GBK" w:hAnsi="宋体" w:eastAsia="方正仿宋_GBK"/>
                <w:sz w:val="21"/>
                <w:szCs w:val="21"/>
              </w:rPr>
              <w:t>按“响应文件格式要求”要求盖章</w:t>
            </w:r>
            <w:r>
              <w:rPr>
                <w:rFonts w:hint="eastAsia" w:ascii="方正仿宋_GBK" w:hAnsi="宋体" w:eastAsia="方正仿宋_GBK"/>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hint="eastAsia" w:ascii="方正仿宋_GBK" w:hAnsi="宋体" w:eastAsia="方正仿宋_GBK" w:cs="宋体"/>
                <w:kern w:val="0"/>
                <w:sz w:val="21"/>
                <w:szCs w:val="21"/>
                <w:lang w:val="en-US" w:eastAsia="zh-CN"/>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en-US" w:eastAsia="zh-CN"/>
              </w:rPr>
              <w:t>要求</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en-US" w:eastAsia="zh-CN"/>
              </w:rPr>
              <w:t>含正副各一</w:t>
            </w:r>
            <w:r>
              <w:rPr>
                <w:rFonts w:hint="eastAsia" w:ascii="方正仿宋_GBK" w:hAnsi="宋体" w:eastAsia="方正仿宋_GBK" w:cs="仿宋_GB2312"/>
                <w:sz w:val="21"/>
                <w:szCs w:val="21"/>
                <w:lang w:val="zh-CN"/>
              </w:rPr>
              <w:t>本，符合采购文件要求，</w:t>
            </w:r>
            <w:r>
              <w:rPr>
                <w:rFonts w:hint="eastAsia" w:ascii="方正仿宋_GBK" w:hAnsi="宋体" w:eastAsia="方正仿宋_GBK" w:cs="仿宋_GB2312"/>
                <w:sz w:val="21"/>
                <w:szCs w:val="21"/>
                <w:lang w:val="en-US" w:eastAsia="zh-CN"/>
              </w:rPr>
              <w:t>密封封装</w:t>
            </w:r>
            <w:r>
              <w:rPr>
                <w:rFonts w:hint="eastAsia" w:ascii="方正仿宋_GBK" w:hAnsi="宋体" w:eastAsia="方正仿宋_GBK" w:cs="仿宋_GB2312"/>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rPr>
              <w:t>实质性</w:t>
            </w:r>
            <w:r>
              <w:rPr>
                <w:rFonts w:hint="default" w:cstheme="minorBidi"/>
                <w:kern w:val="2"/>
                <w:sz w:val="24"/>
                <w:szCs w:val="21"/>
                <w:lang w:val="en-US" w:eastAsia="zh-CN" w:bidi="ar-SA"/>
              </w:rPr>
              <w:t>“★”</w:t>
            </w:r>
            <w:r>
              <w:rPr>
                <w:rFonts w:hint="eastAsia" w:ascii="方正仿宋_GBK" w:hAnsi="宋体" w:eastAsia="方正仿宋_GBK" w:cs="宋体"/>
                <w:kern w:val="0"/>
                <w:sz w:val="21"/>
                <w:szCs w:val="21"/>
              </w:rPr>
              <w:t>响应、确认</w:t>
            </w:r>
          </w:p>
        </w:tc>
        <w:tc>
          <w:tcPr>
            <w:tcW w:w="6259" w:type="dxa"/>
            <w:vAlign w:val="center"/>
          </w:tcPr>
          <w:p>
            <w:pPr>
              <w:pStyle w:val="9"/>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w:t>
            </w:r>
            <w:r>
              <w:rPr>
                <w:rFonts w:hint="default" w:cstheme="minorBidi"/>
                <w:kern w:val="2"/>
                <w:sz w:val="24"/>
                <w:szCs w:val="21"/>
                <w:lang w:val="en-US" w:eastAsia="zh-CN" w:bidi="ar-SA"/>
              </w:rPr>
              <w:t>“★”</w:t>
            </w:r>
            <w:r>
              <w:rPr>
                <w:rFonts w:hint="eastAsia" w:ascii="方正仿宋_GBK" w:hAnsi="宋体" w:eastAsia="方正仿宋_GBK" w:cs="宋体"/>
                <w:kern w:val="0"/>
                <w:sz w:val="21"/>
                <w:szCs w:val="21"/>
              </w:rPr>
              <w:t>规定的内容进行实质性响应</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确认</w:t>
            </w:r>
            <w:r>
              <w:rPr>
                <w:rFonts w:hint="eastAsia" w:ascii="方正仿宋_GBK" w:hAnsi="宋体" w:eastAsia="方正仿宋_GBK"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响应文件</w:t>
            </w:r>
            <w:r>
              <w:rPr>
                <w:rFonts w:hint="eastAsia" w:ascii="方正仿宋_GBK" w:hAnsi="宋体" w:eastAsia="方正仿宋_GBK" w:cs="宋体"/>
                <w:kern w:val="0"/>
                <w:sz w:val="21"/>
                <w:szCs w:val="21"/>
              </w:rPr>
              <w:t>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widowControl w:val="0"/>
        <w:numPr>
          <w:ilvl w:val="0"/>
          <w:numId w:val="6"/>
        </w:numPr>
        <w:snapToGrid w:val="0"/>
        <w:spacing w:line="400" w:lineRule="exact"/>
        <w:ind w:firstLine="480" w:firstLineChars="200"/>
        <w:jc w:val="both"/>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评审小组与审查合格的响应供应商围绕技术、商务条款等内容分别进行进行议价（唯一来源）。</w:t>
      </w:r>
    </w:p>
    <w:p>
      <w:pPr>
        <w:widowControl w:val="0"/>
        <w:numPr>
          <w:ilvl w:val="0"/>
          <w:numId w:val="6"/>
        </w:numPr>
        <w:snapToGrid w:val="0"/>
        <w:spacing w:line="400" w:lineRule="exact"/>
        <w:ind w:firstLine="480" w:firstLineChars="200"/>
        <w:jc w:val="both"/>
        <w:rPr>
          <w:rFonts w:hint="default"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结束后，作出实质性响应的有效供应商应提交最终报价，采购人不接受高于前面轮次报价的最终报价。</w:t>
      </w:r>
    </w:p>
    <w:p>
      <w:pPr>
        <w:widowControl w:val="0"/>
        <w:numPr>
          <w:ilvl w:val="0"/>
          <w:numId w:val="6"/>
        </w:numPr>
        <w:snapToGrid w:val="0"/>
        <w:spacing w:line="400" w:lineRule="exact"/>
        <w:ind w:firstLine="480" w:firstLineChars="200"/>
        <w:jc w:val="both"/>
        <w:rPr>
          <w:rFonts w:hint="default"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评审完成并签署评审报告确认成交结果。</w:t>
      </w:r>
    </w:p>
    <w:p>
      <w:pPr>
        <w:keepNext/>
        <w:keepLines/>
        <w:widowControl w:val="0"/>
        <w:numPr>
          <w:ilvl w:val="0"/>
          <w:numId w:val="7"/>
        </w:numPr>
        <w:adjustRightInd w:val="0"/>
        <w:snapToGrid w:val="0"/>
        <w:spacing w:before="0" w:after="0" w:line="400" w:lineRule="exact"/>
        <w:ind w:firstLine="480" w:firstLineChars="200"/>
        <w:jc w:val="both"/>
        <w:outlineLvl w:val="1"/>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成交的标准</w:t>
      </w:r>
    </w:p>
    <w:p>
      <w:pPr>
        <w:widowControl w:val="0"/>
        <w:numPr>
          <w:ilvl w:val="0"/>
          <w:numId w:val="0"/>
        </w:numPr>
        <w:snapToGrid w:val="0"/>
        <w:spacing w:line="400" w:lineRule="exact"/>
        <w:ind w:firstLine="480" w:firstLineChars="200"/>
        <w:jc w:val="both"/>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评审小组根据符合采购需求、符合质量和服务要求，按最终（最低）报价确定议价（唯一来源）成交供应商。成交供应商确定后，在我所官网上将结果进行公示，如质疑时间内对成交结果有质疑投诉且成立的，将重新调整公示信息。成交供应商无故放弃成交的，应当依法承担法律责任。</w:t>
      </w:r>
    </w:p>
    <w:p>
      <w:pPr>
        <w:keepNext/>
        <w:keepLines/>
        <w:widowControl w:val="0"/>
        <w:numPr>
          <w:ilvl w:val="0"/>
          <w:numId w:val="7"/>
        </w:numPr>
        <w:adjustRightInd w:val="0"/>
        <w:snapToGrid w:val="0"/>
        <w:spacing w:before="0" w:after="0" w:line="400" w:lineRule="exact"/>
        <w:ind w:firstLine="480" w:firstLineChars="200"/>
        <w:jc w:val="both"/>
        <w:outlineLvl w:val="1"/>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无效的报价认定</w:t>
      </w:r>
    </w:p>
    <w:p>
      <w:pPr>
        <w:pStyle w:val="8"/>
        <w:adjustRightInd w:val="0"/>
        <w:snapToGrid w:val="0"/>
        <w:spacing w:line="440" w:lineRule="exact"/>
        <w:ind w:firstLine="48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1.报价文件没有有效签署的；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2.报价文件不响应评审小组谈判时质疑提出的问题，且该问题将可能给采购人造成重大影响的；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3.报价文件的报价明显过低，可能低于其成本，而响应供应商又不能作出合理说明的；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4.报价文件的总价超出采购预算的；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5.报价文件附有采购人不能接受的条件的；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6.评审小组认为本次报价不响应谈判文件实质性要求的；</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7.评审小组认为明显不符合谈判要求的技术规格、技术标准、采购数量；</w:t>
      </w:r>
    </w:p>
    <w:p>
      <w:pPr>
        <w:pStyle w:val="8"/>
        <w:adjustRightInd w:val="0"/>
        <w:snapToGrid w:val="0"/>
        <w:spacing w:line="44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8.其它问题评审小组一致认为应作为无效报价的。</w:t>
      </w:r>
    </w:p>
    <w:p>
      <w:pPr>
        <w:pStyle w:val="5"/>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cs="Times New Roman"/>
          <w:b/>
          <w:kern w:val="2"/>
          <w:sz w:val="24"/>
          <w:lang w:val="en-US" w:eastAsia="zh-CN" w:bidi="ar-SA"/>
        </w:rPr>
        <w:t>四、</w:t>
      </w:r>
      <w:r>
        <w:rPr>
          <w:rFonts w:hint="eastAsia" w:ascii="方正仿宋_GBK" w:hAnsi="宋体" w:eastAsia="方正仿宋_GBK"/>
          <w:sz w:val="24"/>
        </w:rPr>
        <w:t>采购终止</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出现下列情形之一的，采购人应当终止采购活动，并</w:t>
      </w:r>
      <w:r>
        <w:rPr>
          <w:rFonts w:hint="eastAsia" w:ascii="方正仿宋_GBK" w:hAnsi="宋体" w:eastAsia="方正仿宋_GBK"/>
          <w:sz w:val="24"/>
          <w:szCs w:val="24"/>
          <w:lang w:val="en-US" w:eastAsia="zh-CN"/>
        </w:rPr>
        <w:t>告知供应商</w:t>
      </w:r>
      <w:r>
        <w:rPr>
          <w:rFonts w:hint="eastAsia" w:ascii="方正仿宋_GBK" w:hAnsi="宋体" w:eastAsia="方正仿宋_GBK"/>
          <w:sz w:val="24"/>
          <w:szCs w:val="24"/>
        </w:rPr>
        <w:t>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w:t>
      </w:r>
      <w:r>
        <w:rPr>
          <w:rFonts w:hint="eastAsia" w:ascii="方正仿宋_GBK" w:hAnsi="宋体" w:eastAsia="方正仿宋_GBK" w:cs="Times New Roman"/>
          <w:kern w:val="2"/>
          <w:sz w:val="24"/>
          <w:szCs w:val="24"/>
          <w:lang w:val="en-US" w:eastAsia="zh-CN" w:bidi="ar-SA"/>
        </w:rPr>
        <w:t>议价（唯一来源）</w:t>
      </w:r>
      <w:r>
        <w:rPr>
          <w:rFonts w:hint="eastAsia" w:ascii="方正仿宋_GBK" w:hAnsi="宋体" w:eastAsia="方正仿宋_GBK"/>
          <w:sz w:val="24"/>
          <w:szCs w:val="24"/>
          <w:lang w:eastAsia="zh-CN"/>
        </w:rPr>
        <w:t>采购人</w:t>
      </w:r>
      <w:r>
        <w:rPr>
          <w:rFonts w:hint="eastAsia" w:ascii="方正仿宋_GBK" w:hAnsi="宋体" w:eastAsia="方正仿宋_GBK"/>
          <w:sz w:val="24"/>
          <w:szCs w:val="24"/>
        </w:rPr>
        <w:t>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因重大变故采购任务取消的。</w:t>
      </w:r>
    </w:p>
    <w:p>
      <w:pPr>
        <w:keepNext/>
        <w:keepLines/>
        <w:widowControl w:val="0"/>
        <w:numPr>
          <w:ilvl w:val="0"/>
          <w:numId w:val="0"/>
        </w:numPr>
        <w:adjustRightInd w:val="0"/>
        <w:snapToGrid w:val="0"/>
        <w:spacing w:before="0" w:after="0" w:line="400" w:lineRule="exact"/>
        <w:jc w:val="both"/>
        <w:outlineLvl w:val="1"/>
        <w:rPr>
          <w:rFonts w:hint="default" w:ascii="方正仿宋_GBK" w:hAnsi="宋体" w:eastAsia="方正仿宋_GBK" w:cs="Times New Roman"/>
          <w:b/>
          <w:kern w:val="2"/>
          <w:sz w:val="24"/>
          <w:lang w:val="en-US" w:eastAsia="zh-CN" w:bidi="ar-SA"/>
        </w:rPr>
      </w:pPr>
    </w:p>
    <w:p>
      <w:pPr>
        <w:widowControl w:val="0"/>
        <w:numPr>
          <w:ilvl w:val="0"/>
          <w:numId w:val="0"/>
        </w:numPr>
        <w:snapToGrid w:val="0"/>
        <w:spacing w:line="400" w:lineRule="exact"/>
        <w:jc w:val="both"/>
        <w:rPr>
          <w:rFonts w:hint="default" w:ascii="方正仿宋_GBK" w:hAnsi="宋体" w:eastAsia="方正仿宋_GBK" w:cs="Times New Roman"/>
          <w:kern w:val="2"/>
          <w:sz w:val="24"/>
          <w:szCs w:val="24"/>
          <w:lang w:val="en-US" w:eastAsia="zh-CN" w:bidi="ar-SA"/>
        </w:rPr>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5"/>
        <w:numPr>
          <w:ilvl w:val="0"/>
          <w:numId w:val="5"/>
        </w:numPr>
        <w:spacing w:before="0" w:after="0" w:line="360" w:lineRule="auto"/>
        <w:ind w:left="0" w:leftChars="0" w:firstLine="0" w:firstLineChars="0"/>
        <w:jc w:val="center"/>
        <w:rPr>
          <w:rFonts w:hint="eastAsia" w:ascii="方正小标宋_GBK" w:eastAsia="方正小标宋_GBK"/>
          <w:b w:val="0"/>
          <w:sz w:val="36"/>
          <w:szCs w:val="30"/>
        </w:rPr>
      </w:pPr>
      <w:bookmarkStart w:id="17" w:name="_Toc106034806"/>
      <w:bookmarkStart w:id="18" w:name="_Toc10599"/>
      <w:bookmarkStart w:id="19" w:name="_Toc14861"/>
      <w:bookmarkStart w:id="20" w:name="_Toc12789059"/>
      <w:bookmarkStart w:id="21" w:name="_Toc11641055"/>
      <w:bookmarkStart w:id="22" w:name="_Toc65660365"/>
      <w:bookmarkStart w:id="23" w:name="_Toc28162"/>
      <w:r>
        <w:rPr>
          <w:rFonts w:hint="eastAsia" w:ascii="方正小标宋_GBK" w:eastAsia="方正小标宋_GBK"/>
          <w:b w:val="0"/>
          <w:sz w:val="36"/>
          <w:szCs w:val="30"/>
        </w:rPr>
        <w:t xml:space="preserve"> </w:t>
      </w:r>
      <w:bookmarkEnd w:id="17"/>
      <w:bookmarkEnd w:id="18"/>
      <w:bookmarkEnd w:id="19"/>
      <w:bookmarkEnd w:id="20"/>
      <w:bookmarkEnd w:id="21"/>
      <w:bookmarkEnd w:id="22"/>
      <w:bookmarkEnd w:id="23"/>
      <w:bookmarkStart w:id="24" w:name="_Toc6968"/>
      <w:bookmarkStart w:id="25" w:name="_Toc106034807"/>
      <w:bookmarkStart w:id="26" w:name="_Toc12789072"/>
      <w:bookmarkStart w:id="27" w:name="_Toc65660378"/>
      <w:bookmarkStart w:id="28" w:name="_Toc18521"/>
      <w:bookmarkStart w:id="29" w:name="_Toc9538"/>
      <w:r>
        <w:rPr>
          <w:rFonts w:hint="eastAsia" w:ascii="方正小标宋_GBK" w:eastAsia="方正小标宋_GBK"/>
          <w:b w:val="0"/>
          <w:sz w:val="36"/>
          <w:szCs w:val="30"/>
        </w:rPr>
        <w:t xml:space="preserve">  响应文件格式要求</w:t>
      </w:r>
      <w:bookmarkEnd w:id="24"/>
      <w:bookmarkEnd w:id="25"/>
      <w:bookmarkEnd w:id="26"/>
      <w:bookmarkEnd w:id="27"/>
      <w:bookmarkEnd w:id="28"/>
      <w:bookmarkEnd w:id="29"/>
    </w:p>
    <w:p>
      <w:pPr>
        <w:numPr>
          <w:ilvl w:val="0"/>
          <w:numId w:val="8"/>
        </w:num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资格性文件</w:t>
      </w:r>
    </w:p>
    <w:p>
      <w:pPr>
        <w:numPr>
          <w:ilvl w:val="0"/>
          <w:numId w:val="9"/>
        </w:numPr>
        <w:spacing w:line="400" w:lineRule="exact"/>
        <w:ind w:left="480" w:leftChars="0" w:firstLine="0" w:firstLine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法定代表人/负责人资格证明书</w:t>
      </w:r>
    </w:p>
    <w:p>
      <w:pPr>
        <w:numPr>
          <w:ilvl w:val="0"/>
          <w:numId w:val="9"/>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法定代表人/负责人授权委托书</w:t>
      </w:r>
    </w:p>
    <w:p>
      <w:pPr>
        <w:numPr>
          <w:ilvl w:val="0"/>
          <w:numId w:val="9"/>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营业执照（副本）或事业单位法人证书</w:t>
      </w:r>
    </w:p>
    <w:p>
      <w:pPr>
        <w:numPr>
          <w:ilvl w:val="0"/>
          <w:numId w:val="9"/>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基本资格条件承诺函</w:t>
      </w:r>
    </w:p>
    <w:p>
      <w:pPr>
        <w:numPr>
          <w:ilvl w:val="0"/>
          <w:numId w:val="9"/>
        </w:numPr>
        <w:spacing w:line="400" w:lineRule="exact"/>
        <w:ind w:left="480" w:leftChars="0" w:firstLine="0" w:firstLineChars="0"/>
        <w:rPr>
          <w:rFonts w:hint="default" w:ascii="方正仿宋_GBK" w:hAnsi="宋体" w:eastAsia="方正仿宋_GBK"/>
          <w:sz w:val="24"/>
          <w:szCs w:val="24"/>
          <w:lang w:val="en-US" w:eastAsia="zh-CN"/>
        </w:rPr>
      </w:pPr>
      <w:r>
        <w:rPr>
          <w:rFonts w:hint="default" w:ascii="方正仿宋_GBK" w:hAnsi="宋体" w:eastAsia="方正仿宋_GBK"/>
          <w:sz w:val="24"/>
          <w:szCs w:val="24"/>
          <w:lang w:val="en-US" w:eastAsia="zh-CN"/>
        </w:rPr>
        <w:t>特定资格条件证书或证明文件</w:t>
      </w:r>
      <w:r>
        <w:rPr>
          <w:rFonts w:hint="eastAsia" w:ascii="方正仿宋_GBK" w:hAnsi="宋体" w:eastAsia="方正仿宋_GBK"/>
          <w:sz w:val="24"/>
          <w:szCs w:val="24"/>
          <w:lang w:val="en-US" w:eastAsia="zh-CN"/>
        </w:rPr>
        <w:t>（本项目所需证明文件含：《危险化学品经营许可证》、《气瓶充装许可证》、《道路运输经营许可证》、《药品生产许可证》、《药品GMP证书》、《药品注册批件》）</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二、</w:t>
      </w:r>
      <w:r>
        <w:rPr>
          <w:rFonts w:hint="eastAsia" w:ascii="方正仿宋_GBK" w:hAnsi="宋体" w:eastAsia="方正仿宋_GBK"/>
          <w:b/>
          <w:sz w:val="24"/>
          <w:szCs w:val="24"/>
        </w:rPr>
        <w:t>明细报价表</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、实质性（“★”项）条款响应表</w:t>
      </w:r>
    </w:p>
    <w:p>
      <w:pPr>
        <w:numPr>
          <w:ilvl w:val="0"/>
          <w:numId w:val="0"/>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（一）采购项目技术要求</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p>
      <w:pPr>
        <w:numPr>
          <w:ilvl w:val="0"/>
          <w:numId w:val="0"/>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采购项目商务要求</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p>
      <w:pPr>
        <w:spacing w:line="400" w:lineRule="exact"/>
        <w:ind w:firstLine="480" w:firstLineChars="200"/>
        <w:rPr>
          <w:rFonts w:hint="eastAsia" w:ascii="方正仿宋_GBK" w:hAnsi="宋体" w:eastAsia="方正仿宋_GBK"/>
          <w:b/>
          <w:sz w:val="24"/>
          <w:szCs w:val="24"/>
          <w:lang w:val="en-US" w:eastAsia="zh-CN"/>
        </w:rPr>
      </w:pPr>
      <w:r>
        <w:rPr>
          <w:rFonts w:hint="eastAsia" w:ascii="方正仿宋_GBK" w:hAnsi="宋体" w:eastAsia="方正仿宋_GBK"/>
          <w:b/>
          <w:sz w:val="24"/>
          <w:szCs w:val="24"/>
          <w:lang w:val="en-US" w:eastAsia="zh-CN"/>
        </w:rPr>
        <w:t>四、一般条款响应表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一</w:t>
      </w:r>
      <w:r>
        <w:rPr>
          <w:rFonts w:hint="eastAsia" w:ascii="方正仿宋_GBK" w:hAnsi="宋体" w:eastAsia="方正仿宋_GBK"/>
          <w:b/>
          <w:sz w:val="24"/>
          <w:szCs w:val="24"/>
          <w:lang w:eastAsia="zh-CN"/>
        </w:rPr>
        <w:t>）</w:t>
      </w:r>
      <w:r>
        <w:rPr>
          <w:rFonts w:hint="eastAsia" w:ascii="方正仿宋_GBK" w:hAnsi="宋体" w:eastAsia="方正仿宋_GBK"/>
          <w:b/>
          <w:sz w:val="24"/>
          <w:szCs w:val="24"/>
        </w:rPr>
        <w:t>技术要求部分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技术响应偏离表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lang w:val="en-US" w:eastAsia="zh-CN"/>
        </w:rPr>
        <w:t>（二）商务</w:t>
      </w:r>
      <w:r>
        <w:rPr>
          <w:rFonts w:hint="eastAsia" w:ascii="方正仿宋_GBK" w:hAnsi="宋体" w:eastAsia="方正仿宋_GBK"/>
          <w:b/>
          <w:sz w:val="24"/>
          <w:szCs w:val="24"/>
        </w:rPr>
        <w:t>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1.商务</w:t>
      </w:r>
      <w:r>
        <w:rPr>
          <w:rFonts w:hint="eastAsia" w:ascii="方正仿宋_GBK" w:hAnsi="宋体" w:eastAsia="方正仿宋_GBK"/>
          <w:sz w:val="24"/>
          <w:szCs w:val="24"/>
        </w:rPr>
        <w:t>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其它服务承诺（格式</w:t>
      </w:r>
      <w:r>
        <w:rPr>
          <w:rFonts w:hint="eastAsia" w:ascii="方正仿宋_GBK" w:hAnsi="宋体" w:eastAsia="方正仿宋_GBK"/>
          <w:sz w:val="24"/>
          <w:szCs w:val="24"/>
          <w:lang w:val="en-US" w:eastAsia="zh-CN"/>
        </w:rPr>
        <w:t>仅供参考</w:t>
      </w:r>
      <w:r>
        <w:rPr>
          <w:rFonts w:hint="eastAsia" w:ascii="方正仿宋_GBK" w:hAnsi="宋体" w:eastAsia="方正仿宋_GBK"/>
          <w:sz w:val="24"/>
          <w:szCs w:val="24"/>
        </w:rPr>
        <w:t>）</w:t>
      </w:r>
    </w:p>
    <w:p>
      <w:pPr>
        <w:snapToGrid w:val="0"/>
        <w:spacing w:line="360" w:lineRule="auto"/>
        <w:rPr>
          <w:rFonts w:ascii="宋体" w:hAnsi="宋体"/>
          <w:sz w:val="24"/>
          <w:szCs w:val="24"/>
          <w:bdr w:val="single" w:color="auto" w:sz="4" w:space="0"/>
        </w:rPr>
      </w:pPr>
    </w:p>
    <w:p>
      <w:pPr>
        <w:numPr>
          <w:ilvl w:val="0"/>
          <w:numId w:val="0"/>
        </w:numPr>
        <w:ind w:leftChars="0"/>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16"/>
        <w:ind w:firstLine="480"/>
        <w:jc w:val="right"/>
      </w:pPr>
    </w:p>
    <w:p>
      <w:pPr>
        <w:pStyle w:val="8"/>
        <w:adjustRightInd w:val="0"/>
        <w:snapToGrid w:val="0"/>
        <w:spacing w:line="360" w:lineRule="auto"/>
        <w:jc w:val="center"/>
        <w:rPr>
          <w:rFonts w:hint="eastAsia" w:ascii="仿宋" w:hAnsi="仿宋" w:eastAsia="仿宋" w:cs="仿宋"/>
          <w:b/>
          <w:sz w:val="72"/>
          <w:szCs w:val="72"/>
          <w:lang w:val="en-US" w:eastAsia="zh-CN"/>
        </w:rPr>
      </w:pPr>
    </w:p>
    <w:p>
      <w:pPr>
        <w:pStyle w:val="8"/>
        <w:adjustRightInd w:val="0"/>
        <w:snapToGrid w:val="0"/>
        <w:spacing w:line="360" w:lineRule="auto"/>
        <w:jc w:val="center"/>
        <w:rPr>
          <w:rFonts w:hint="eastAsia" w:ascii="仿宋" w:hAnsi="仿宋" w:eastAsia="仿宋" w:cs="仿宋"/>
          <w:b/>
          <w:sz w:val="72"/>
          <w:szCs w:val="72"/>
          <w:lang w:val="en-US" w:eastAsia="zh-CN"/>
        </w:rPr>
      </w:pPr>
    </w:p>
    <w:p>
      <w:pPr>
        <w:pStyle w:val="8"/>
        <w:adjustRightInd w:val="0"/>
        <w:snapToGrid w:val="0"/>
        <w:spacing w:line="360" w:lineRule="auto"/>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议价采购（唯一来源）</w:t>
      </w:r>
    </w:p>
    <w:p>
      <w:pPr>
        <w:pStyle w:val="8"/>
        <w:adjustRightInd w:val="0"/>
        <w:snapToGrid w:val="0"/>
        <w:spacing w:line="360" w:lineRule="auto"/>
        <w:jc w:val="center"/>
        <w:rPr>
          <w:rFonts w:hint="eastAsia" w:ascii="仿宋" w:hAnsi="仿宋" w:eastAsia="仿宋" w:cs="仿宋"/>
          <w:b/>
          <w:kern w:val="0"/>
          <w:sz w:val="84"/>
          <w:szCs w:val="84"/>
        </w:rPr>
      </w:pPr>
      <w:r>
        <w:rPr>
          <w:rFonts w:hint="eastAsia" w:ascii="仿宋" w:hAnsi="仿宋" w:eastAsia="仿宋" w:cs="仿宋"/>
          <w:b/>
          <w:kern w:val="0"/>
          <w:sz w:val="72"/>
          <w:szCs w:val="72"/>
        </w:rPr>
        <w:t>响 应 文 件</w:t>
      </w:r>
    </w:p>
    <w:p>
      <w:pPr>
        <w:pStyle w:val="8"/>
        <w:spacing w:line="360" w:lineRule="auto"/>
        <w:rPr>
          <w:rFonts w:hint="default" w:ascii="仿宋" w:hAnsi="仿宋" w:eastAsia="仿宋" w:cs="仿宋"/>
          <w:b/>
          <w:sz w:val="28"/>
          <w:szCs w:val="28"/>
          <w:lang w:val="en-US" w:eastAsia="zh-CN"/>
        </w:rPr>
      </w:pPr>
    </w:p>
    <w:p>
      <w:pPr>
        <w:pStyle w:val="8"/>
        <w:adjustRightInd w:val="0"/>
        <w:snapToGrid w:val="0"/>
        <w:spacing w:line="440" w:lineRule="exact"/>
        <w:jc w:val="center"/>
        <w:rPr>
          <w:rFonts w:hint="eastAsia" w:ascii="仿宋" w:hAnsi="仿宋" w:eastAsia="仿宋" w:cs="仿宋"/>
          <w:b/>
          <w:kern w:val="0"/>
          <w:sz w:val="32"/>
          <w:szCs w:val="32"/>
          <w:lang w:eastAsia="zh-CN"/>
        </w:rPr>
      </w:pPr>
      <w:r>
        <w:rPr>
          <w:rFonts w:hint="eastAsia" w:ascii="仿宋" w:hAnsi="仿宋" w:eastAsia="仿宋" w:cs="仿宋"/>
          <w:b/>
          <w:sz w:val="32"/>
          <w:szCs w:val="32"/>
        </w:rPr>
        <w:t>项目名称：医用气体配送及氧气瓶检测服务采购项目</w:t>
      </w:r>
    </w:p>
    <w:p>
      <w:pPr>
        <w:pStyle w:val="8"/>
        <w:adjustRightInd w:val="0"/>
        <w:snapToGrid w:val="0"/>
        <w:spacing w:line="440" w:lineRule="exact"/>
        <w:jc w:val="center"/>
        <w:rPr>
          <w:rFonts w:hint="eastAsia" w:ascii="仿宋" w:hAnsi="仿宋" w:eastAsia="仿宋" w:cs="仿宋"/>
          <w:b/>
          <w:kern w:val="0"/>
          <w:sz w:val="24"/>
          <w:szCs w:val="24"/>
        </w:rPr>
      </w:pPr>
      <w:r>
        <w:rPr>
          <w:rFonts w:hint="eastAsia" w:ascii="仿宋" w:hAnsi="仿宋" w:eastAsia="仿宋" w:cs="仿宋"/>
          <w:b/>
          <w:sz w:val="32"/>
          <w:szCs w:val="32"/>
          <w:lang w:val="en-US" w:eastAsia="zh-CN"/>
        </w:rPr>
        <w:t>采购人：惠州市皮肤病防治研究所</w:t>
      </w:r>
    </w:p>
    <w:p>
      <w:pPr>
        <w:pStyle w:val="8"/>
        <w:adjustRightInd w:val="0"/>
        <w:snapToGrid w:val="0"/>
        <w:spacing w:line="440" w:lineRule="exact"/>
        <w:rPr>
          <w:rFonts w:hint="eastAsia" w:ascii="仿宋" w:hAnsi="仿宋" w:eastAsia="仿宋" w:cs="仿宋"/>
          <w:b/>
          <w:kern w:val="0"/>
          <w:sz w:val="24"/>
          <w:szCs w:val="24"/>
        </w:rPr>
      </w:pPr>
    </w:p>
    <w:p>
      <w:pPr>
        <w:pStyle w:val="8"/>
        <w:adjustRightInd w:val="0"/>
        <w:snapToGrid w:val="0"/>
        <w:spacing w:line="440" w:lineRule="exact"/>
        <w:rPr>
          <w:rFonts w:hint="eastAsia" w:ascii="仿宋" w:hAnsi="仿宋" w:eastAsia="仿宋" w:cs="仿宋"/>
          <w:b/>
          <w:kern w:val="0"/>
          <w:sz w:val="24"/>
          <w:szCs w:val="24"/>
        </w:rPr>
      </w:pPr>
    </w:p>
    <w:p>
      <w:pPr>
        <w:pStyle w:val="8"/>
        <w:adjustRightInd w:val="0"/>
        <w:snapToGrid w:val="0"/>
        <w:spacing w:line="440" w:lineRule="exact"/>
        <w:rPr>
          <w:rFonts w:hint="eastAsia" w:ascii="仿宋" w:hAnsi="仿宋" w:eastAsia="仿宋" w:cs="仿宋"/>
          <w:b/>
          <w:kern w:val="0"/>
          <w:sz w:val="24"/>
          <w:szCs w:val="24"/>
        </w:rPr>
      </w:pPr>
      <w:r>
        <w:rPr>
          <w:rFonts w:hint="eastAsia" w:ascii="仿宋" w:hAnsi="仿宋" w:eastAsia="仿宋" w:cs="仿宋"/>
          <w:b/>
          <w:kern w:val="0"/>
          <w:sz w:val="24"/>
          <w:szCs w:val="24"/>
        </w:rPr>
        <w:t>响应供应商</w:t>
      </w: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公章</w:t>
      </w:r>
      <w:r>
        <w:rPr>
          <w:rFonts w:hint="eastAsia" w:ascii="仿宋" w:hAnsi="仿宋" w:eastAsia="仿宋" w:cs="仿宋"/>
          <w:b/>
          <w:kern w:val="0"/>
          <w:sz w:val="24"/>
          <w:szCs w:val="24"/>
          <w:lang w:eastAsia="zh-CN"/>
        </w:rPr>
        <w:t>）</w:t>
      </w:r>
      <w:r>
        <w:rPr>
          <w:rFonts w:hint="eastAsia" w:ascii="仿宋" w:hAnsi="仿宋" w:eastAsia="仿宋" w:cs="仿宋"/>
          <w:b/>
          <w:kern w:val="0"/>
          <w:sz w:val="24"/>
          <w:szCs w:val="24"/>
        </w:rPr>
        <w:t xml:space="preserve">：                              </w:t>
      </w:r>
    </w:p>
    <w:p>
      <w:pPr>
        <w:pStyle w:val="8"/>
        <w:adjustRightInd w:val="0"/>
        <w:snapToGrid w:val="0"/>
        <w:spacing w:line="440" w:lineRule="exact"/>
        <w:jc w:val="center"/>
        <w:rPr>
          <w:rFonts w:hint="eastAsia" w:ascii="仿宋" w:hAnsi="仿宋" w:eastAsia="仿宋" w:cs="仿宋"/>
          <w:b/>
          <w:kern w:val="0"/>
          <w:sz w:val="24"/>
          <w:szCs w:val="24"/>
        </w:rPr>
      </w:pPr>
    </w:p>
    <w:p>
      <w:pPr>
        <w:pStyle w:val="8"/>
        <w:adjustRightInd w:val="0"/>
        <w:snapToGrid w:val="0"/>
        <w:spacing w:line="440" w:lineRule="exact"/>
        <w:rPr>
          <w:rFonts w:hint="eastAsia" w:ascii="仿宋" w:hAnsi="仿宋" w:eastAsia="仿宋" w:cs="仿宋"/>
          <w:b/>
          <w:kern w:val="0"/>
          <w:sz w:val="24"/>
          <w:szCs w:val="24"/>
        </w:rPr>
      </w:pPr>
    </w:p>
    <w:p>
      <w:pPr>
        <w:pStyle w:val="8"/>
        <w:adjustRightInd w:val="0"/>
        <w:snapToGrid w:val="0"/>
        <w:spacing w:line="440" w:lineRule="exact"/>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项目联系人/联系方式：</w:t>
      </w:r>
    </w:p>
    <w:p>
      <w:pPr>
        <w:pStyle w:val="16"/>
        <w:jc w:val="both"/>
        <w:rPr>
          <w:rFonts w:hint="eastAsia" w:ascii="仿宋" w:hAnsi="仿宋" w:eastAsia="仿宋" w:cs="仿宋"/>
          <w:sz w:val="28"/>
          <w:szCs w:val="28"/>
        </w:rPr>
      </w:pPr>
      <w:bookmarkStart w:id="30" w:name="_Toc202254104"/>
      <w:bookmarkStart w:id="31" w:name="_Toc202251074"/>
      <w:bookmarkStart w:id="32" w:name="_Toc202819877"/>
      <w:bookmarkStart w:id="33" w:name="_Toc202820350"/>
      <w:bookmarkStart w:id="34" w:name="_Toc202816995"/>
      <w:bookmarkStart w:id="35" w:name="_Toc202252033"/>
      <w:bookmarkStart w:id="36" w:name="_Toc202251699"/>
    </w:p>
    <w:p>
      <w:pPr>
        <w:pStyle w:val="16"/>
        <w:jc w:val="both"/>
        <w:rPr>
          <w:rFonts w:hint="eastAsia" w:ascii="仿宋" w:hAnsi="仿宋" w:eastAsia="仿宋" w:cs="仿宋"/>
          <w:sz w:val="28"/>
          <w:szCs w:val="28"/>
        </w:rPr>
      </w:pPr>
    </w:p>
    <w:p>
      <w:pPr>
        <w:pStyle w:val="8"/>
        <w:adjustRightInd w:val="0"/>
        <w:snapToGrid w:val="0"/>
        <w:spacing w:line="440" w:lineRule="exact"/>
        <w:rPr>
          <w:rFonts w:hint="eastAsia" w:ascii="仿宋" w:hAnsi="仿宋" w:eastAsia="仿宋" w:cs="仿宋"/>
          <w:b/>
          <w:kern w:val="0"/>
          <w:sz w:val="24"/>
          <w:szCs w:val="24"/>
        </w:rPr>
      </w:pPr>
      <w:r>
        <w:rPr>
          <w:rFonts w:hint="eastAsia" w:ascii="仿宋" w:hAnsi="仿宋" w:eastAsia="仿宋" w:cs="仿宋"/>
          <w:b/>
          <w:kern w:val="0"/>
          <w:sz w:val="24"/>
          <w:szCs w:val="24"/>
        </w:rPr>
        <w:t>日      期：</w:t>
      </w: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4"/>
          <w:szCs w:val="24"/>
        </w:rPr>
      </w:pPr>
      <w:r>
        <w:rPr>
          <w:rFonts w:hint="eastAsia" w:ascii="仿宋" w:hAnsi="仿宋" w:eastAsia="仿宋" w:cs="仿宋"/>
          <w:sz w:val="24"/>
          <w:szCs w:val="24"/>
          <w:lang w:val="en-US" w:eastAsia="zh-CN"/>
        </w:rPr>
        <w:t>注：响应有效期为自递交响应文件起至确定正式成交人止不少于90 天。</w:t>
      </w: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pStyle w:val="16"/>
        <w:jc w:val="both"/>
        <w:rPr>
          <w:rFonts w:hint="eastAsia" w:ascii="仿宋" w:hAnsi="仿宋" w:eastAsia="仿宋" w:cs="仿宋"/>
          <w:sz w:val="28"/>
          <w:szCs w:val="28"/>
        </w:rPr>
      </w:pPr>
    </w:p>
    <w:p>
      <w:pPr>
        <w:numPr>
          <w:ilvl w:val="0"/>
          <w:numId w:val="0"/>
        </w:numPr>
        <w:spacing w:line="400" w:lineRule="exact"/>
        <w:jc w:val="center"/>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一、</w:t>
      </w:r>
      <w:r>
        <w:rPr>
          <w:rFonts w:hint="eastAsia" w:ascii="方正仿宋_GBK" w:hAnsi="宋体" w:eastAsia="方正仿宋_GBK"/>
          <w:b/>
          <w:sz w:val="24"/>
          <w:szCs w:val="24"/>
        </w:rPr>
        <w:t>资格性文件</w:t>
      </w:r>
    </w:p>
    <w:p>
      <w:pPr>
        <w:pStyle w:val="6"/>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法定代表人/负责人资格证明书及授权委托书</w:t>
      </w:r>
    </w:p>
    <w:p>
      <w:pPr>
        <w:pStyle w:val="6"/>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惠州市皮肤病防治研究所</w:t>
      </w:r>
      <w:r>
        <w:rPr>
          <w:rFonts w:hint="eastAsia" w:ascii="仿宋" w:hAnsi="仿宋" w:eastAsia="仿宋" w:cs="仿宋"/>
          <w:sz w:val="24"/>
        </w:rPr>
        <w:t>：</w:t>
      </w: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440" w:lineRule="exact"/>
        <w:ind w:firstLine="240" w:firstLineChars="100"/>
        <w:rPr>
          <w:rFonts w:hint="eastAsia" w:ascii="仿宋" w:hAnsi="仿宋" w:eastAsia="仿宋" w:cs="仿宋"/>
          <w:sz w:val="24"/>
        </w:rPr>
      </w:pPr>
      <w:r>
        <w:rPr>
          <w:rFonts w:hint="eastAsia" w:ascii="仿宋" w:hAnsi="仿宋" w:eastAsia="仿宋" w:cs="仿宋"/>
          <w:sz w:val="24"/>
        </w:rPr>
        <w:t xml:space="preserve">附：         </w:t>
      </w:r>
    </w:p>
    <w:p>
      <w:pPr>
        <w:spacing w:line="440" w:lineRule="exact"/>
        <w:ind w:firstLine="240" w:firstLineChars="100"/>
        <w:rPr>
          <w:rFonts w:hint="default" w:ascii="仿宋" w:hAnsi="仿宋" w:eastAsia="仿宋" w:cs="仿宋"/>
          <w:sz w:val="24"/>
          <w:u w:val="single"/>
          <w:lang w:val="en-US" w:eastAsia="zh-CN"/>
        </w:rPr>
      </w:pPr>
      <w:r>
        <w:rPr>
          <w:rFonts w:hint="eastAsia" w:ascii="仿宋" w:hAnsi="仿宋" w:eastAsia="仿宋" w:cs="仿宋"/>
          <w:sz w:val="24"/>
        </w:rPr>
        <w:t>身份证号码：</w:t>
      </w:r>
      <w:r>
        <w:rPr>
          <w:rFonts w:hint="eastAsia" w:ascii="仿宋" w:hAnsi="仿宋" w:eastAsia="仿宋" w:cs="仿宋"/>
          <w:sz w:val="24"/>
          <w:u w:val="single"/>
          <w:lang w:val="en-US" w:eastAsia="zh-CN"/>
        </w:rPr>
        <w:t xml:space="preserve">          </w:t>
      </w:r>
    </w:p>
    <w:p>
      <w:pPr>
        <w:spacing w:line="440" w:lineRule="exact"/>
        <w:ind w:firstLine="240" w:firstLineChars="100"/>
        <w:rPr>
          <w:rFonts w:hint="eastAsia" w:ascii="仿宋" w:hAnsi="仿宋" w:eastAsia="仿宋" w:cs="仿宋"/>
          <w:sz w:val="24"/>
          <w:u w:val="single"/>
        </w:rPr>
      </w:pP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pPr>
        <w:spacing w:line="440" w:lineRule="exact"/>
        <w:ind w:firstLine="240" w:firstLineChars="100"/>
        <w:rPr>
          <w:rFonts w:hint="eastAsia" w:ascii="仿宋" w:hAnsi="仿宋" w:eastAsia="仿宋" w:cs="仿宋"/>
          <w:sz w:val="24"/>
        </w:rPr>
      </w:pPr>
      <w:r>
        <w:rPr>
          <w:rFonts w:hint="eastAsia" w:ascii="仿宋" w:hAnsi="仿宋" w:eastAsia="仿宋" w:cs="仿宋"/>
          <w:sz w:val="24"/>
        </w:rPr>
        <w:t>签发日期：</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ind w:firstLine="240" w:firstLineChars="100"/>
        <w:rPr>
          <w:rFonts w:hint="eastAsia"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lang w:eastAsia="zh-CN"/>
        </w:rPr>
        <w:t>（</w:t>
      </w:r>
      <w:r>
        <w:rPr>
          <w:rFonts w:hint="eastAsia" w:ascii="仿宋" w:hAnsi="仿宋" w:eastAsia="仿宋" w:cs="仿宋"/>
          <w:sz w:val="24"/>
        </w:rPr>
        <w:t>公章盖章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exact"/>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pPr>
        <w:spacing w:line="440" w:lineRule="exact"/>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pPr>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(为避免</w:t>
      </w:r>
      <w:r>
        <w:rPr>
          <w:rFonts w:hint="eastAsia" w:ascii="仿宋" w:hAnsi="仿宋" w:eastAsia="仿宋" w:cs="仿宋"/>
          <w:b/>
          <w:sz w:val="28"/>
          <w:szCs w:val="28"/>
          <w:lang w:val="en-US" w:eastAsia="zh-CN"/>
        </w:rPr>
        <w:t>响应无效</w:t>
      </w:r>
      <w:r>
        <w:rPr>
          <w:rFonts w:hint="eastAsia" w:ascii="仿宋" w:hAnsi="仿宋" w:eastAsia="仿宋" w:cs="仿宋"/>
          <w:b/>
          <w:sz w:val="28"/>
          <w:szCs w:val="28"/>
        </w:rPr>
        <w:t>，请供应商务必提供本附件)</w:t>
      </w:r>
    </w:p>
    <w:p>
      <w:pPr>
        <w:rPr>
          <w:rFonts w:hint="eastAsia"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sz w:val="28"/>
          <w:szCs w:val="28"/>
        </w:rPr>
      </w:pPr>
    </w:p>
    <w:p>
      <w:pPr>
        <w:spacing w:line="480" w:lineRule="exact"/>
        <w:rPr>
          <w:rFonts w:hint="eastAsia" w:ascii="仿宋" w:hAnsi="仿宋" w:eastAsia="仿宋" w:cs="仿宋"/>
          <w:b/>
          <w:sz w:val="28"/>
          <w:szCs w:val="28"/>
        </w:rPr>
      </w:pPr>
    </w:p>
    <w:p>
      <w:pPr>
        <w:spacing w:line="480" w:lineRule="exact"/>
        <w:rPr>
          <w:rFonts w:hint="eastAsia" w:ascii="仿宋" w:hAnsi="仿宋" w:eastAsia="仿宋" w:cs="仿宋"/>
          <w:b/>
          <w:sz w:val="28"/>
          <w:szCs w:val="28"/>
        </w:rPr>
      </w:pPr>
    </w:p>
    <w:p>
      <w:pPr>
        <w:pStyle w:val="16"/>
        <w:jc w:val="both"/>
        <w:rPr>
          <w:rFonts w:hint="eastAsia" w:ascii="仿宋" w:hAnsi="仿宋" w:eastAsia="仿宋" w:cs="仿宋"/>
          <w:b/>
          <w:sz w:val="28"/>
          <w:szCs w:val="28"/>
        </w:rPr>
      </w:pPr>
      <w:r>
        <w:rPr>
          <w:rFonts w:hint="eastAsia" w:ascii="仿宋" w:hAnsi="仿宋" w:eastAsia="仿宋" w:cs="仿宋"/>
          <w:b/>
          <w:sz w:val="28"/>
          <w:szCs w:val="28"/>
        </w:rPr>
        <w:br w:type="page"/>
      </w:r>
    </w:p>
    <w:p>
      <w:pPr>
        <w:pStyle w:val="6"/>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（二）</w:t>
      </w:r>
      <w:r>
        <w:rPr>
          <w:rFonts w:hint="default" w:ascii="仿宋" w:hAnsi="仿宋" w:eastAsia="仿宋" w:cs="仿宋"/>
          <w:sz w:val="24"/>
          <w:szCs w:val="24"/>
          <w:lang w:val="en-US" w:eastAsia="zh-CN"/>
        </w:rPr>
        <w:t>法定代表人/负责人授权委托书</w:t>
      </w:r>
    </w:p>
    <w:p>
      <w:pPr>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惠州市皮肤病防治研究所</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同志，为我方进行</w:t>
      </w:r>
      <w:r>
        <w:rPr>
          <w:rFonts w:hint="eastAsia" w:ascii="仿宋" w:hAnsi="仿宋" w:eastAsia="仿宋" w:cs="仿宋"/>
          <w:sz w:val="24"/>
          <w:u w:val="single"/>
          <w:lang w:val="en-US" w:eastAsia="zh-CN"/>
        </w:rPr>
        <w:t>医用气体配送及氧气瓶检测服务采购项目</w:t>
      </w:r>
      <w:r>
        <w:rPr>
          <w:rFonts w:hint="eastAsia" w:ascii="仿宋" w:hAnsi="仿宋" w:eastAsia="仿宋" w:cs="仿宋"/>
          <w:sz w:val="24"/>
        </w:rPr>
        <w:t>议价（唯一来源）</w:t>
      </w:r>
      <w:r>
        <w:rPr>
          <w:rFonts w:hint="eastAsia" w:ascii="仿宋" w:hAnsi="仿宋" w:eastAsia="仿宋" w:cs="仿宋"/>
          <w:sz w:val="24"/>
          <w:lang w:val="en-US" w:eastAsia="zh-CN"/>
        </w:rPr>
        <w:t>采购项目</w:t>
      </w:r>
      <w:r>
        <w:rPr>
          <w:rFonts w:hint="eastAsia" w:ascii="仿宋" w:hAnsi="仿宋" w:eastAsia="仿宋" w:cs="仿宋"/>
          <w:sz w:val="24"/>
        </w:rPr>
        <w:t>事务代理人。</w:t>
      </w:r>
    </w:p>
    <w:p>
      <w:pPr>
        <w:spacing w:line="480" w:lineRule="exact"/>
        <w:rPr>
          <w:rFonts w:hint="eastAsia" w:ascii="仿宋" w:hAnsi="仿宋" w:eastAsia="仿宋" w:cs="仿宋"/>
          <w:sz w:val="24"/>
        </w:rPr>
      </w:pPr>
      <w:r>
        <w:rPr>
          <w:rFonts w:hint="eastAsia" w:ascii="仿宋" w:hAnsi="仿宋" w:eastAsia="仿宋" w:cs="仿宋"/>
          <w:sz w:val="24"/>
        </w:rPr>
        <w:t>授权供应商：</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公章盖章</w:t>
      </w:r>
      <w:r>
        <w:rPr>
          <w:rFonts w:hint="eastAsia" w:ascii="仿宋" w:hAnsi="仿宋" w:eastAsia="仿宋" w:cs="仿宋"/>
          <w:sz w:val="24"/>
        </w:rPr>
        <w:t xml:space="preserve">）     </w:t>
      </w:r>
    </w:p>
    <w:p>
      <w:pPr>
        <w:spacing w:line="480" w:lineRule="exact"/>
        <w:rPr>
          <w:rFonts w:hint="eastAsia" w:ascii="仿宋" w:hAnsi="仿宋" w:eastAsia="仿宋" w:cs="仿宋"/>
          <w:sz w:val="24"/>
        </w:rPr>
      </w:pPr>
      <w:r>
        <w:rPr>
          <w:rFonts w:hint="eastAsia" w:ascii="仿宋" w:hAnsi="仿宋" w:eastAsia="仿宋" w:cs="仿宋"/>
          <w:sz w:val="24"/>
        </w:rPr>
        <w:t xml:space="preserve">法定代表人 </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rPr>
        <w:t>（签名或盖私章）</w:t>
      </w:r>
    </w:p>
    <w:p>
      <w:pPr>
        <w:spacing w:line="480" w:lineRule="exact"/>
        <w:rPr>
          <w:rFonts w:hint="eastAsia" w:ascii="仿宋" w:hAnsi="仿宋" w:eastAsia="仿宋" w:cs="仿宋"/>
          <w:sz w:val="24"/>
        </w:rPr>
      </w:pPr>
      <w:r>
        <w:rPr>
          <w:rFonts w:hint="eastAsia" w:ascii="仿宋" w:hAnsi="仿宋" w:eastAsia="仿宋" w:cs="仿宋"/>
          <w:sz w:val="24"/>
        </w:rPr>
        <w:t xml:space="preserve">签发日期：   </w:t>
      </w:r>
    </w:p>
    <w:p>
      <w:pPr>
        <w:spacing w:line="480" w:lineRule="exact"/>
        <w:rPr>
          <w:rFonts w:hint="eastAsia" w:ascii="仿宋" w:hAnsi="仿宋" w:eastAsia="仿宋" w:cs="仿宋"/>
          <w:sz w:val="24"/>
        </w:rPr>
      </w:pPr>
      <w:r>
        <w:rPr>
          <w:rFonts w:hint="eastAsia" w:ascii="仿宋" w:hAnsi="仿宋" w:eastAsia="仿宋" w:cs="仿宋"/>
          <w:sz w:val="24"/>
        </w:rPr>
        <w:t>附：代理人身份证号码：</w:t>
      </w:r>
    </w:p>
    <w:p>
      <w:pPr>
        <w:spacing w:line="48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w:t>
      </w:r>
    </w:p>
    <w:p>
      <w:pPr>
        <w:spacing w:line="480" w:lineRule="exact"/>
        <w:rPr>
          <w:rFonts w:hint="eastAsia" w:ascii="仿宋" w:hAnsi="仿宋" w:eastAsia="仿宋" w:cs="仿宋"/>
          <w:sz w:val="24"/>
        </w:rPr>
      </w:pPr>
      <w:r>
        <w:rPr>
          <w:rFonts w:hint="eastAsia" w:ascii="仿宋" w:hAnsi="仿宋" w:eastAsia="仿宋" w:cs="仿宋"/>
          <w:sz w:val="24"/>
        </w:rPr>
        <w:t>说明：1.法定代表人为企业事业单位、国家机关、社会团体的主要行政负责人。</w:t>
      </w:r>
    </w:p>
    <w:p>
      <w:pPr>
        <w:spacing w:line="480" w:lineRule="exact"/>
        <w:rPr>
          <w:rFonts w:hint="eastAsia" w:ascii="仿宋" w:hAnsi="仿宋" w:eastAsia="仿宋" w:cs="仿宋"/>
          <w:sz w:val="24"/>
        </w:rPr>
      </w:pPr>
      <w:r>
        <w:rPr>
          <w:rFonts w:hint="eastAsia" w:ascii="仿宋" w:hAnsi="仿宋" w:eastAsia="仿宋" w:cs="仿宋"/>
          <w:sz w:val="24"/>
        </w:rPr>
        <w:t xml:space="preserve">      2.内容必须填写真实、清楚、涂改无效，不得转让、买卖。</w:t>
      </w:r>
    </w:p>
    <w:p>
      <w:pPr>
        <w:spacing w:line="480" w:lineRule="exact"/>
        <w:ind w:firstLine="720" w:firstLineChars="300"/>
        <w:rPr>
          <w:rFonts w:hint="eastAsia" w:ascii="仿宋" w:hAnsi="仿宋" w:eastAsia="仿宋" w:cs="仿宋"/>
          <w:sz w:val="24"/>
        </w:rPr>
      </w:pPr>
      <w:r>
        <w:rPr>
          <w:rFonts w:hint="eastAsia" w:ascii="仿宋" w:hAnsi="仿宋" w:eastAsia="仿宋" w:cs="仿宋"/>
          <w:sz w:val="24"/>
        </w:rPr>
        <w:t>3.授权权限：全权代表本公司参与上述采购项目的</w:t>
      </w:r>
      <w:r>
        <w:rPr>
          <w:rFonts w:hint="eastAsia" w:ascii="仿宋" w:hAnsi="仿宋" w:eastAsia="仿宋" w:cs="仿宋"/>
          <w:sz w:val="24"/>
          <w:lang w:val="en-US" w:eastAsia="zh-CN"/>
        </w:rPr>
        <w:t>采购</w:t>
      </w:r>
      <w:r>
        <w:rPr>
          <w:rFonts w:hint="eastAsia" w:ascii="仿宋" w:hAnsi="仿宋" w:eastAsia="仿宋" w:cs="仿宋"/>
          <w:sz w:val="24"/>
        </w:rPr>
        <w:t>响应，负责提供与签署确认一切文书资料，以及向贵方递交的任何补充承诺。</w:t>
      </w:r>
    </w:p>
    <w:p>
      <w:pPr>
        <w:spacing w:line="440" w:lineRule="exact"/>
        <w:ind w:firstLine="736" w:firstLineChars="307"/>
        <w:rPr>
          <w:rFonts w:hint="eastAsia" w:ascii="仿宋" w:hAnsi="仿宋" w:eastAsia="仿宋" w:cs="仿宋"/>
          <w:sz w:val="28"/>
          <w:szCs w:val="28"/>
        </w:rPr>
      </w:pPr>
      <w:r>
        <w:rPr>
          <w:rFonts w:hint="eastAsia" w:ascii="仿宋" w:hAnsi="仿宋" w:eastAsia="仿宋" w:cs="仿宋"/>
          <w:sz w:val="24"/>
          <w:lang w:val="en-US" w:eastAsia="zh-CN"/>
        </w:rPr>
        <w:t>4.响应</w:t>
      </w:r>
      <w:r>
        <w:rPr>
          <w:rFonts w:hint="eastAsia" w:ascii="仿宋" w:hAnsi="仿宋" w:eastAsia="仿宋" w:cs="仿宋"/>
          <w:sz w:val="24"/>
        </w:rPr>
        <w:t>签字代表为法定代表人，则本表不适用。</w:t>
      </w:r>
    </w:p>
    <w:p>
      <w:pPr>
        <w:spacing w:line="360" w:lineRule="auto"/>
        <w:ind w:firstLine="420"/>
        <w:rPr>
          <w:rFonts w:hint="eastAsia" w:ascii="仿宋" w:hAnsi="仿宋" w:eastAsia="仿宋" w:cs="仿宋"/>
          <w:sz w:val="28"/>
          <w:szCs w:val="28"/>
          <w:u w:val="single"/>
        </w:rPr>
      </w:pPr>
      <w:r>
        <w:rPr>
          <w:rFonts w:hint="eastAsia" w:ascii="仿宋" w:hAnsi="仿宋" w:eastAsia="仿宋" w:cs="仿宋"/>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1312;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8yJ1wAAAAkBAAAPAAAAAAAAAAEAIAAAACIAAABkcnMvZG93bnJldi54bWxQSwECFAAUAAAA&#10;CACHTuJARCKkLy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n2l1wAAAAkBAAAPAAAAAAAAAAEAIAAAACIAAABkcnMvZG93bnJldi54bWxQSwECFAAUAAAA&#10;CACHTuJAqUFT1C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DLOUQ+KAIAAFAEAAAOAAAAAAAAAAEAIAAAACg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sz w:val="28"/>
          <w:szCs w:val="28"/>
        </w:rPr>
      </w:pPr>
    </w:p>
    <w:p>
      <w:pPr>
        <w:spacing w:line="300" w:lineRule="auto"/>
        <w:jc w:val="center"/>
        <w:rPr>
          <w:rFonts w:hint="eastAsia" w:ascii="仿宋" w:hAnsi="仿宋" w:eastAsia="仿宋" w:cs="仿宋"/>
          <w:b/>
          <w:sz w:val="28"/>
          <w:szCs w:val="28"/>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p>
    <w:p>
      <w:pPr>
        <w:numPr>
          <w:ilvl w:val="0"/>
          <w:numId w:val="0"/>
        </w:numP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w:t>
      </w:r>
      <w:r>
        <w:rPr>
          <w:rFonts w:hint="default" w:ascii="方正仿宋_GBK" w:hAnsi="宋体" w:eastAsia="方正仿宋_GBK"/>
          <w:sz w:val="24"/>
          <w:szCs w:val="24"/>
          <w:lang w:val="en-US" w:eastAsia="zh-CN"/>
        </w:rPr>
        <w:t>营业执照（副本）或事业单位法人证书</w:t>
      </w:r>
      <w:r>
        <w:rPr>
          <w:rFonts w:hint="eastAsia" w:ascii="方正仿宋_GBK" w:hAnsi="宋体" w:eastAsia="方正仿宋_GBK"/>
          <w:sz w:val="24"/>
          <w:szCs w:val="24"/>
          <w:lang w:val="en-US" w:eastAsia="zh-CN"/>
        </w:rPr>
        <w:t>（加盖公章）</w:t>
      </w:r>
    </w:p>
    <w:p>
      <w:pPr>
        <w:widowControl/>
        <w:spacing w:line="400" w:lineRule="exact"/>
        <w:jc w:val="left"/>
        <w:rPr>
          <w:rFonts w:ascii="方正仿宋_GBK" w:hAnsi="宋体" w:eastAsia="方正仿宋_GBK"/>
          <w:sz w:val="24"/>
          <w:szCs w:val="24"/>
        </w:rPr>
      </w:pPr>
      <w:r>
        <w:rPr>
          <w:rFonts w:hint="eastAsia" w:ascii="仿宋" w:hAnsi="仿宋" w:eastAsia="仿宋" w:cs="仿宋"/>
          <w:sz w:val="28"/>
          <w:szCs w:val="28"/>
        </w:rPr>
        <w:br w:type="page"/>
      </w:r>
      <w:bookmarkEnd w:id="30"/>
      <w:bookmarkEnd w:id="31"/>
      <w:bookmarkEnd w:id="32"/>
      <w:bookmarkEnd w:id="33"/>
      <w:bookmarkEnd w:id="34"/>
      <w:bookmarkEnd w:id="35"/>
      <w:bookmarkEnd w:id="36"/>
      <w:r>
        <w:rPr>
          <w:rFonts w:hint="eastAsia" w:ascii="方正仿宋_GBK" w:hAnsi="宋体" w:eastAsia="方正仿宋_GBK"/>
          <w:sz w:val="24"/>
          <w:szCs w:val="24"/>
          <w:lang w:val="en-US" w:eastAsia="zh-CN"/>
        </w:rPr>
        <w:t>（四）</w:t>
      </w:r>
      <w:r>
        <w:rPr>
          <w:rFonts w:hint="default" w:ascii="方正仿宋_GBK" w:hAnsi="宋体" w:eastAsia="方正仿宋_GBK"/>
          <w:sz w:val="24"/>
          <w:szCs w:val="24"/>
          <w:lang w:val="en-US" w:eastAsia="zh-CN"/>
        </w:rPr>
        <w:t>基本资格条件承诺函</w:t>
      </w:r>
      <w:r>
        <w:rPr>
          <w:rFonts w:hint="eastAsia" w:ascii="方正仿宋_GBK" w:hAnsi="宋体" w:eastAsia="方正仿宋_GBK"/>
          <w:sz w:val="24"/>
          <w:szCs w:val="24"/>
        </w:rPr>
        <w:t>（格式）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lang w:val="en-US" w:eastAsia="zh-CN"/>
        </w:rPr>
        <w:t>惠州市皮肤病防治研究所</w:t>
      </w:r>
      <w:r>
        <w:rPr>
          <w:rFonts w:hint="eastAsia"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highlight w:val="yellow"/>
          <w:u w:val="single"/>
        </w:rPr>
        <w:t>供应商名称</w:t>
      </w:r>
      <w:r>
        <w:rPr>
          <w:rFonts w:hint="eastAsia" w:ascii="方正仿宋_GBK" w:hAnsi="仿宋" w:eastAsia="方正仿宋_GBK"/>
          <w:sz w:val="24"/>
          <w:highlight w:val="yellow"/>
          <w:u w:val="single"/>
          <w:lang w:val="en-US" w:eastAsia="zh-CN"/>
        </w:rPr>
        <w:t xml:space="preserve"> </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rPr>
        <w:t>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w:t>
      </w:r>
      <w:r>
        <w:rPr>
          <w:rFonts w:hint="eastAsia" w:ascii="方正仿宋_GBK" w:hAnsi="仿宋" w:eastAsia="方正仿宋_GBK"/>
          <w:sz w:val="24"/>
          <w:lang w:eastAsia="zh-CN"/>
        </w:rPr>
        <w:t>，</w:t>
      </w:r>
      <w:r>
        <w:rPr>
          <w:rFonts w:hint="eastAsia" w:ascii="方正仿宋_GBK" w:hAnsi="仿宋" w:eastAsia="方正仿宋_GBK"/>
          <w:sz w:val="24"/>
        </w:rPr>
        <w:t>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w:t>
      </w:r>
      <w:r>
        <w:rPr>
          <w:rFonts w:hint="eastAsia" w:ascii="方正仿宋_GBK" w:hAnsi="仿宋" w:eastAsia="方正仿宋_GBK"/>
          <w:sz w:val="24"/>
          <w:lang w:val="en-US" w:eastAsia="zh-CN"/>
        </w:rPr>
        <w:t>议价</w:t>
      </w:r>
      <w:r>
        <w:rPr>
          <w:rFonts w:hint="eastAsia" w:ascii="方正仿宋_GBK" w:hAnsi="仿宋" w:eastAsia="方正仿宋_GBK"/>
          <w:sz w:val="24"/>
        </w:rPr>
        <w:t>环节结束后，</w:t>
      </w:r>
      <w:r>
        <w:rPr>
          <w:rFonts w:hint="eastAsia" w:ascii="方正仿宋_GBK" w:hAnsi="仿宋" w:eastAsia="方正仿宋_GBK"/>
          <w:sz w:val="24"/>
          <w:lang w:val="en-US" w:eastAsia="zh-CN"/>
        </w:rPr>
        <w:t>可随时</w:t>
      </w:r>
      <w:r>
        <w:rPr>
          <w:rFonts w:hint="eastAsia" w:ascii="方正仿宋_GBK" w:hAnsi="仿宋" w:eastAsia="方正仿宋_GBK"/>
          <w:sz w:val="24"/>
        </w:rPr>
        <w:t>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highlight w:val="yellow"/>
        </w:rPr>
      </w:pPr>
      <w:r>
        <w:rPr>
          <w:rFonts w:hint="eastAsia" w:ascii="方正仿宋_GBK" w:hAnsi="仿宋" w:eastAsia="方正仿宋_GBK"/>
          <w:sz w:val="24"/>
          <w:highlight w:val="yellow"/>
          <w:u w:val="single"/>
        </w:rPr>
        <w:t>供应商名称</w:t>
      </w:r>
      <w:r>
        <w:rPr>
          <w:rFonts w:hint="eastAsia" w:ascii="方正仿宋_GBK" w:hAnsi="仿宋" w:eastAsia="方正仿宋_GBK"/>
          <w:sz w:val="24"/>
          <w:highlight w:val="yellow"/>
          <w:u w:val="single"/>
          <w:lang w:val="en-US" w:eastAsia="zh-CN"/>
        </w:rPr>
        <w:t xml:space="preserve"> </w:t>
      </w:r>
      <w:r>
        <w:rPr>
          <w:rFonts w:hint="eastAsia" w:ascii="方正仿宋_GBK" w:hAnsi="仿宋" w:eastAsia="方正仿宋_GBK"/>
          <w:sz w:val="24"/>
          <w:highlight w:val="yellow"/>
        </w:rPr>
        <w:t>（公章）</w:t>
      </w:r>
    </w:p>
    <w:p>
      <w:pPr>
        <w:tabs>
          <w:tab w:val="left" w:pos="6300"/>
        </w:tabs>
        <w:snapToGrid w:val="0"/>
        <w:spacing w:line="500" w:lineRule="exact"/>
        <w:ind w:firstLine="480" w:firstLineChars="200"/>
        <w:jc w:val="right"/>
        <w:rPr>
          <w:rFonts w:ascii="方正仿宋_GBK" w:hAnsi="宋体" w:eastAsia="方正仿宋_GBK"/>
          <w:sz w:val="24"/>
          <w:szCs w:val="24"/>
          <w:highlight w:val="yellow"/>
        </w:rPr>
      </w:pPr>
      <w:r>
        <w:rPr>
          <w:rFonts w:hint="eastAsia" w:ascii="方正仿宋_GBK" w:hAnsi="仿宋" w:eastAsia="方正仿宋_GBK"/>
          <w:sz w:val="24"/>
          <w:highlight w:val="yellow"/>
        </w:rPr>
        <w:t>年   月   日</w:t>
      </w:r>
    </w:p>
    <w:p>
      <w:pPr>
        <w:pStyle w:val="2"/>
        <w:numPr>
          <w:ilvl w:val="0"/>
          <w:numId w:val="0"/>
        </w:numPr>
        <w:ind w:leftChars="100"/>
        <w:rPr>
          <w:rFonts w:ascii="方正仿宋_GBK" w:hAnsi="宋体" w:eastAsia="方正仿宋_GBK"/>
        </w:rPr>
      </w:pPr>
      <w:r>
        <w:rPr>
          <w:rFonts w:ascii="方正仿宋_GBK" w:hAnsi="宋体" w:eastAsia="方正仿宋_GBK"/>
        </w:rPr>
        <w:br w:type="page"/>
      </w:r>
    </w:p>
    <w:p>
      <w:pPr>
        <w:rPr>
          <w:rFonts w:hint="default"/>
          <w:lang w:val="en-US" w:eastAsia="zh-CN"/>
        </w:rPr>
      </w:pPr>
    </w:p>
    <w:p>
      <w:pPr>
        <w:numPr>
          <w:ilvl w:val="0"/>
          <w:numId w:val="0"/>
        </w:numPr>
        <w:spacing w:line="400" w:lineRule="exact"/>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（五）</w:t>
      </w:r>
      <w:r>
        <w:rPr>
          <w:rFonts w:hint="default" w:ascii="方正仿宋_GBK" w:hAnsi="宋体" w:eastAsia="方正仿宋_GBK"/>
          <w:sz w:val="24"/>
          <w:szCs w:val="24"/>
          <w:lang w:val="en-US" w:eastAsia="zh-CN"/>
        </w:rPr>
        <w:t>特定资格条件证书或证明文件</w:t>
      </w:r>
      <w:r>
        <w:rPr>
          <w:rFonts w:hint="eastAsia" w:ascii="方正仿宋_GBK" w:hAnsi="宋体" w:eastAsia="方正仿宋_GBK"/>
          <w:sz w:val="24"/>
          <w:szCs w:val="24"/>
          <w:lang w:val="en-US" w:eastAsia="zh-CN"/>
        </w:rPr>
        <w:t>，本项目所需证明文件含：《危险化学品经营许可证》、《气瓶充装许可证》、《道路运输经营许可证》、《药品生产许可证》、《药品GMP证书》、《药品注册批件》（</w:t>
      </w:r>
      <w:r>
        <w:rPr>
          <w:rFonts w:hint="default" w:ascii="方正仿宋_GBK" w:hAnsi="宋体" w:eastAsia="方正仿宋_GBK"/>
          <w:sz w:val="24"/>
          <w:szCs w:val="24"/>
          <w:lang w:val="en-US" w:eastAsia="zh-CN"/>
        </w:rPr>
        <w:t>证书或证明文件</w:t>
      </w:r>
      <w:r>
        <w:rPr>
          <w:rFonts w:hint="eastAsia" w:ascii="方正仿宋_GBK" w:hAnsi="宋体" w:eastAsia="方正仿宋_GBK"/>
          <w:sz w:val="24"/>
          <w:szCs w:val="24"/>
          <w:lang w:val="en-US" w:eastAsia="zh-CN"/>
        </w:rPr>
        <w:t>每页均需盖章）。</w:t>
      </w: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pStyle w:val="2"/>
        <w:numPr>
          <w:ilvl w:val="0"/>
          <w:numId w:val="0"/>
        </w:numPr>
        <w:ind w:leftChars="100"/>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numPr>
          <w:ilvl w:val="0"/>
          <w:numId w:val="8"/>
        </w:numPr>
        <w:spacing w:line="400" w:lineRule="exact"/>
        <w:ind w:left="0" w:leftChars="0" w:firstLine="480" w:firstLineChars="200"/>
        <w:jc w:val="center"/>
        <w:rPr>
          <w:rFonts w:hint="default" w:ascii="方正仿宋_GBK" w:hAnsi="宋体" w:eastAsia="方正仿宋_GBK"/>
          <w:b/>
          <w:sz w:val="24"/>
          <w:szCs w:val="24"/>
          <w:lang w:val="en-US" w:eastAsia="zh-CN"/>
        </w:rPr>
      </w:pPr>
      <w:r>
        <w:rPr>
          <w:rFonts w:hint="eastAsia" w:ascii="方正仿宋_GBK" w:hAnsi="宋体" w:eastAsia="方正仿宋_GBK"/>
          <w:b/>
          <w:sz w:val="24"/>
          <w:szCs w:val="24"/>
        </w:rPr>
        <w:t>明细报价表</w:t>
      </w:r>
    </w:p>
    <w:p>
      <w:pPr>
        <w:spacing w:line="400" w:lineRule="exact"/>
        <w:jc w:val="center"/>
        <w:rPr>
          <w:rFonts w:hint="eastAsia" w:ascii="方正仿宋_GBK" w:hAnsi="宋体" w:eastAsia="方正仿宋_GBK"/>
          <w:b/>
          <w:bCs/>
          <w:sz w:val="24"/>
          <w:szCs w:val="24"/>
          <w:lang w:eastAsia="zh-CN"/>
        </w:rPr>
      </w:pPr>
      <w:r>
        <w:rPr>
          <w:rFonts w:hint="eastAsia" w:ascii="方正仿宋_GBK" w:hAnsi="宋体" w:eastAsia="方正仿宋_GBK"/>
          <w:b/>
          <w:bCs/>
          <w:sz w:val="24"/>
          <w:szCs w:val="24"/>
        </w:rPr>
        <w:t>项目名称：</w:t>
      </w:r>
      <w:r>
        <w:rPr>
          <w:rFonts w:hint="eastAsia" w:ascii="方正仿宋_GBK" w:hAnsi="宋体" w:eastAsia="方正仿宋_GBK"/>
          <w:b/>
          <w:bCs/>
          <w:sz w:val="24"/>
          <w:szCs w:val="24"/>
          <w:lang w:eastAsia="zh-CN"/>
        </w:rPr>
        <w:t>医用气体配送及氧气瓶检测服务采购项目</w:t>
      </w:r>
    </w:p>
    <w:tbl>
      <w:tblPr>
        <w:tblStyle w:val="13"/>
        <w:tblW w:w="8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2190"/>
        <w:gridCol w:w="2646"/>
        <w:gridCol w:w="924"/>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名称</w:t>
            </w:r>
          </w:p>
        </w:tc>
        <w:tc>
          <w:tcPr>
            <w:tcW w:w="2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服务类型/规格</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型号</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单项报价</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医用氧气气体</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容量：5L</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压力：12.5±0.5MPa</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医用氧气气体</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容量：10L</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压力：12.5±0.5MPa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医用氧气气体</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容量：20L</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压力：12.5±0.5MPa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液氮</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10L/瓶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氧气瓶检测服务</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专业技术服务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瓶/次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气体配送服务</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其他交通运输、仓储服务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bl>
    <w:p>
      <w:pPr>
        <w:tabs>
          <w:tab w:val="left" w:pos="6300"/>
        </w:tabs>
        <w:snapToGrid w:val="0"/>
        <w:spacing w:line="312" w:lineRule="auto"/>
        <w:ind w:firstLine="480" w:firstLineChars="200"/>
        <w:rPr>
          <w:rFonts w:hint="eastAsia" w:ascii="方正仿宋_GBK" w:hAnsi="宋体" w:eastAsia="方正仿宋_GBK"/>
          <w:sz w:val="24"/>
          <w:szCs w:val="24"/>
        </w:rPr>
      </w:pP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愿意按照采购文件中的项目技术</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需求</w:t>
      </w:r>
      <w:r>
        <w:rPr>
          <w:rFonts w:hint="eastAsia" w:ascii="方正仿宋_GBK" w:hAnsi="宋体" w:eastAsia="方正仿宋_GBK"/>
          <w:sz w:val="24"/>
          <w:szCs w:val="24"/>
          <w:lang w:val="en-US" w:eastAsia="zh-CN"/>
        </w:rPr>
        <w:t>响应本项目</w:t>
      </w:r>
      <w:r>
        <w:rPr>
          <w:rFonts w:hint="eastAsia" w:ascii="方正仿宋_GBK" w:hAnsi="宋体" w:eastAsia="方正仿宋_GBK"/>
          <w:sz w:val="24"/>
          <w:szCs w:val="24"/>
        </w:rPr>
        <w:t>，报价为包含灌装、运输、保险等所有项目相关费用等。</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2.报价方案唯一。</w:t>
      </w:r>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u w:val="single"/>
        </w:rPr>
        <w:t>供应商名称</w:t>
      </w:r>
      <w:r>
        <w:rPr>
          <w:rFonts w:hint="eastAsia" w:ascii="方正仿宋_GBK" w:hAnsi="宋体" w:eastAsia="方正仿宋_GBK"/>
          <w:sz w:val="24"/>
          <w:szCs w:val="24"/>
        </w:rPr>
        <w:t>（公章）：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highlight w:val="yellow"/>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left="0" w:leftChars="0" w:firstLine="480" w:firstLineChars="200"/>
        <w:jc w:val="center"/>
        <w:rPr>
          <w:rFonts w:hint="eastAsia" w:ascii="方正仿宋_GBK" w:hAnsi="宋体" w:eastAsia="方正仿宋_GBK"/>
          <w:b/>
          <w:sz w:val="24"/>
          <w:szCs w:val="24"/>
        </w:rPr>
      </w:pPr>
      <w:r>
        <w:rPr>
          <w:rFonts w:hint="eastAsia" w:ascii="方正仿宋_GBK" w:hAnsi="宋体" w:eastAsia="方正仿宋_GBK"/>
          <w:b/>
          <w:sz w:val="24"/>
          <w:szCs w:val="24"/>
        </w:rPr>
        <w:t>实质性（“</w:t>
      </w:r>
      <w:r>
        <w:rPr>
          <w:rFonts w:hint="eastAsia" w:ascii="仿宋" w:hAnsi="仿宋" w:eastAsia="仿宋" w:cs="仿宋"/>
          <w:b/>
          <w:color w:val="000000"/>
          <w:sz w:val="21"/>
          <w:szCs w:val="21"/>
        </w:rPr>
        <w:t>★</w:t>
      </w:r>
      <w:r>
        <w:rPr>
          <w:rFonts w:hint="eastAsia" w:ascii="方正仿宋_GBK" w:hAnsi="宋体" w:eastAsia="方正仿宋_GBK"/>
          <w:b/>
          <w:sz w:val="24"/>
          <w:szCs w:val="24"/>
        </w:rPr>
        <w:t>”项）条款响应表</w:t>
      </w:r>
    </w:p>
    <w:p>
      <w:pPr>
        <w:numPr>
          <w:ilvl w:val="0"/>
          <w:numId w:val="10"/>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采购项目技术要求</w:t>
      </w:r>
      <w:r>
        <w:rPr>
          <w:rFonts w:hint="eastAsia" w:ascii="方正仿宋_GBK" w:hAnsi="宋体" w:eastAsia="方正仿宋_GBK"/>
          <w:b/>
          <w:sz w:val="24"/>
          <w:szCs w:val="24"/>
        </w:rPr>
        <w:t>（“</w:t>
      </w:r>
      <w:r>
        <w:rPr>
          <w:rFonts w:hint="eastAsia" w:ascii="仿宋" w:hAnsi="仿宋" w:eastAsia="仿宋" w:cs="仿宋"/>
          <w:b/>
          <w:color w:val="000000"/>
          <w:sz w:val="21"/>
          <w:szCs w:val="21"/>
        </w:rPr>
        <w:t>★</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实质性（“</w:t>
            </w:r>
            <w:r>
              <w:rPr>
                <w:rFonts w:hint="eastAsia" w:ascii="仿宋" w:hAnsi="仿宋" w:eastAsia="仿宋" w:cs="仿宋"/>
                <w:b/>
                <w:color w:val="000000"/>
                <w:sz w:val="21"/>
                <w:szCs w:val="21"/>
              </w:rPr>
              <w:t>★</w:t>
            </w:r>
            <w:r>
              <w:rPr>
                <w:rFonts w:hint="eastAsia" w:ascii="仿宋" w:hAnsi="仿宋" w:eastAsia="仿宋" w:cs="仿宋"/>
                <w:color w:val="000000"/>
                <w:sz w:val="21"/>
                <w:szCs w:val="21"/>
              </w:rPr>
              <w:t>”项）</w:t>
            </w:r>
            <w:r>
              <w:rPr>
                <w:rFonts w:hint="eastAsia" w:ascii="仿宋" w:hAnsi="仿宋" w:eastAsia="仿宋" w:cs="仿宋"/>
                <w:color w:val="000000"/>
                <w:sz w:val="21"/>
                <w:szCs w:val="21"/>
                <w:lang w:val="en-US" w:eastAsia="zh-CN"/>
              </w:rPr>
              <w:t>技术</w:t>
            </w:r>
            <w:r>
              <w:rPr>
                <w:rFonts w:hint="eastAsia" w:ascii="仿宋" w:hAnsi="仿宋" w:eastAsia="仿宋" w:cs="仿宋"/>
                <w:color w:val="000000"/>
                <w:sz w:val="21"/>
                <w:szCs w:val="21"/>
              </w:rPr>
              <w:t>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077"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名称</w:t>
            </w:r>
          </w:p>
        </w:tc>
        <w:tc>
          <w:tcPr>
            <w:tcW w:w="3651"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要求</w:t>
            </w:r>
          </w:p>
        </w:tc>
        <w:tc>
          <w:tcPr>
            <w:tcW w:w="73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14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0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3651" w:type="dxa"/>
            <w:noWrap w:val="0"/>
            <w:vAlign w:val="center"/>
          </w:tcPr>
          <w:p>
            <w:pPr>
              <w:keepNext w:val="0"/>
              <w:keepLines w:val="0"/>
              <w:pageBreakBefore w:val="0"/>
              <w:widowControl w:val="0"/>
              <w:kinsoku/>
              <w:wordWrap/>
              <w:overflowPunct/>
              <w:topLinePunct w:val="0"/>
              <w:autoSpaceDE/>
              <w:autoSpaceDN/>
              <w:bidi w:val="0"/>
              <w:spacing w:line="240" w:lineRule="atLeast"/>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73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14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c>
          <w:tcPr>
            <w:tcW w:w="10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仿宋" w:hAnsi="仿宋" w:eastAsia="仿宋" w:cs="仿宋"/>
                <w:color w:val="000000"/>
                <w:sz w:val="21"/>
                <w:szCs w:val="21"/>
              </w:rPr>
            </w:pP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lang w:eastAsia="zh-CN"/>
              </w:rPr>
            </w:pP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仿宋" w:hAnsi="仿宋" w:eastAsia="仿宋" w:cs="仿宋"/>
                <w:color w:val="000000"/>
                <w:sz w:val="21"/>
                <w:szCs w:val="21"/>
              </w:rPr>
            </w:pP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lang w:val="en-US" w:eastAsia="zh-CN"/>
              </w:rPr>
            </w:pP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default" w:ascii="仿宋" w:hAnsi="仿宋" w:eastAsia="仿宋" w:cs="仿宋"/>
                <w:color w:val="000000"/>
                <w:sz w:val="21"/>
                <w:szCs w:val="21"/>
                <w:lang w:val="en-US" w:eastAsia="zh-CN"/>
              </w:rPr>
            </w:pP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bl>
    <w:p>
      <w:pPr>
        <w:adjustRightInd w:val="0"/>
        <w:snapToGrid w:val="0"/>
        <w:spacing w:line="300" w:lineRule="auto"/>
        <w:rPr>
          <w:rFonts w:hint="eastAsia" w:ascii="仿宋" w:hAnsi="仿宋" w:eastAsia="仿宋" w:cs="仿宋"/>
          <w:sz w:val="24"/>
          <w:lang w:val="en-GB"/>
        </w:rPr>
      </w:pPr>
      <w:r>
        <w:rPr>
          <w:rFonts w:hint="eastAsia" w:ascii="仿宋" w:hAnsi="仿宋" w:eastAsia="仿宋" w:cs="仿宋"/>
          <w:sz w:val="24"/>
        </w:rPr>
        <w:t>注：1.</w:t>
      </w:r>
      <w:r>
        <w:rPr>
          <w:rFonts w:hint="eastAsia" w:ascii="仿宋" w:hAnsi="仿宋" w:eastAsia="仿宋" w:cs="仿宋"/>
          <w:sz w:val="24"/>
          <w:lang w:val="en-GB"/>
        </w:rPr>
        <w:t>响应供应商</w:t>
      </w:r>
      <w:r>
        <w:rPr>
          <w:rFonts w:hint="eastAsia" w:ascii="仿宋" w:hAnsi="仿宋" w:eastAsia="仿宋" w:cs="仿宋"/>
          <w:sz w:val="24"/>
          <w:lang w:val="en-US" w:eastAsia="zh-CN"/>
        </w:rPr>
        <w:t>响应</w:t>
      </w:r>
      <w:r>
        <w:rPr>
          <w:rFonts w:hint="eastAsia" w:ascii="仿宋" w:hAnsi="仿宋" w:eastAsia="仿宋" w:cs="仿宋"/>
          <w:sz w:val="24"/>
        </w:rPr>
        <w:t>人必须对上述一般上述实质性</w:t>
      </w:r>
      <w:r>
        <w:rPr>
          <w:rFonts w:hint="eastAsia" w:ascii="仿宋" w:hAnsi="仿宋" w:eastAsia="仿宋" w:cs="仿宋"/>
          <w:sz w:val="24"/>
          <w:lang w:val="en-US" w:eastAsia="zh-CN"/>
        </w:rPr>
        <w:t>技术</w:t>
      </w:r>
      <w:r>
        <w:rPr>
          <w:rFonts w:hint="eastAsia" w:ascii="仿宋" w:hAnsi="仿宋" w:eastAsia="仿宋" w:cs="仿宋"/>
          <w:sz w:val="24"/>
        </w:rPr>
        <w:t>条款逐条响应，</w:t>
      </w:r>
      <w:r>
        <w:rPr>
          <w:rFonts w:hint="eastAsia" w:ascii="仿宋" w:hAnsi="仿宋" w:eastAsia="仿宋" w:cs="仿宋"/>
          <w:b/>
          <w:bCs/>
          <w:sz w:val="24"/>
        </w:rPr>
        <w:t>如有缺漏，缺漏项视同不符合</w:t>
      </w:r>
      <w:r>
        <w:rPr>
          <w:rFonts w:hint="eastAsia" w:ascii="仿宋" w:hAnsi="仿宋" w:eastAsia="仿宋" w:cs="仿宋"/>
          <w:b/>
          <w:bCs/>
          <w:sz w:val="24"/>
          <w:lang w:val="en-US" w:eastAsia="zh-CN"/>
        </w:rPr>
        <w:t>采购</w:t>
      </w:r>
      <w:r>
        <w:rPr>
          <w:rFonts w:hint="eastAsia" w:ascii="仿宋" w:hAnsi="仿宋" w:eastAsia="仿宋" w:cs="仿宋"/>
          <w:b/>
          <w:bCs/>
          <w:sz w:val="24"/>
        </w:rPr>
        <w:t>要求。</w:t>
      </w:r>
      <w:r>
        <w:rPr>
          <w:rFonts w:hint="eastAsia" w:ascii="仿宋" w:hAnsi="仿宋" w:eastAsia="仿宋" w:cs="仿宋"/>
          <w:sz w:val="24"/>
        </w:rPr>
        <w:t>标“</w:t>
      </w:r>
      <w:r>
        <w:rPr>
          <w:rFonts w:hint="eastAsia" w:ascii="仿宋" w:hAnsi="仿宋" w:eastAsia="仿宋" w:cs="仿宋"/>
          <w:b/>
          <w:sz w:val="24"/>
        </w:rPr>
        <w:t>★</w:t>
      </w:r>
      <w:r>
        <w:rPr>
          <w:rFonts w:hint="eastAsia" w:ascii="仿宋" w:hAnsi="仿宋" w:eastAsia="仿宋" w:cs="仿宋"/>
          <w:sz w:val="24"/>
        </w:rPr>
        <w:t>”项为不可负偏离（劣于），任何一项负偏离该</w:t>
      </w:r>
      <w:r>
        <w:rPr>
          <w:rFonts w:hint="eastAsia" w:ascii="仿宋" w:hAnsi="仿宋" w:eastAsia="仿宋" w:cs="仿宋"/>
          <w:sz w:val="24"/>
          <w:lang w:val="en-US" w:eastAsia="zh-CN"/>
        </w:rPr>
        <w:t>响应</w:t>
      </w:r>
      <w:r>
        <w:rPr>
          <w:rFonts w:hint="eastAsia" w:ascii="仿宋" w:hAnsi="仿宋" w:eastAsia="仿宋" w:cs="仿宋"/>
          <w:sz w:val="24"/>
        </w:rPr>
        <w:t>无效。</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sz w:val="24"/>
          <w:lang w:val="en-GB"/>
        </w:rPr>
      </w:pPr>
      <w:r>
        <w:rPr>
          <w:rFonts w:hint="eastAsia" w:ascii="仿宋" w:hAnsi="仿宋" w:eastAsia="仿宋" w:cs="仿宋"/>
          <w:sz w:val="24"/>
        </w:rPr>
        <w:t xml:space="preserve">    </w:t>
      </w:r>
      <w:r>
        <w:rPr>
          <w:rFonts w:hint="eastAsia" w:ascii="仿宋" w:hAnsi="仿宋" w:eastAsia="仿宋" w:cs="仿宋"/>
          <w:sz w:val="24"/>
          <w:lang w:val="en-GB"/>
        </w:rPr>
        <w:t>2.本表内容不得擅自修改。</w:t>
      </w: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val="en-US" w:eastAsia="zh-CN"/>
        </w:rPr>
        <w:t>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numPr>
          <w:ilvl w:val="0"/>
          <w:numId w:val="0"/>
        </w:numPr>
        <w:spacing w:line="400" w:lineRule="exact"/>
        <w:rPr>
          <w:rFonts w:hint="eastAsia" w:ascii="方正仿宋_GBK" w:hAnsi="宋体" w:eastAsia="方正仿宋_GBK"/>
          <w:sz w:val="24"/>
          <w:szCs w:val="24"/>
          <w:lang w:val="en-US" w:eastAsia="zh-CN"/>
        </w:rPr>
      </w:pPr>
      <w:r>
        <w:rPr>
          <w:rFonts w:hint="eastAsia" w:ascii="仿宋" w:hAnsi="仿宋" w:eastAsia="仿宋" w:cs="仿宋"/>
          <w:sz w:val="24"/>
          <w:szCs w:val="24"/>
        </w:rPr>
        <w:br w:type="page"/>
      </w:r>
    </w:p>
    <w:p>
      <w:pPr>
        <w:numPr>
          <w:ilvl w:val="0"/>
          <w:numId w:val="0"/>
        </w:numPr>
        <w:spacing w:line="400" w:lineRule="exact"/>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采购项目商务要求</w:t>
      </w:r>
      <w:r>
        <w:rPr>
          <w:rFonts w:hint="eastAsia" w:ascii="方正仿宋_GBK" w:hAnsi="宋体" w:eastAsia="方正仿宋_GBK"/>
          <w:b/>
          <w:sz w:val="24"/>
          <w:szCs w:val="24"/>
        </w:rPr>
        <w:t>（“★”项）</w:t>
      </w:r>
      <w:r>
        <w:rPr>
          <w:rFonts w:hint="eastAsia" w:ascii="方正仿宋_GBK" w:hAnsi="宋体" w:eastAsia="方正仿宋_GBK"/>
          <w:sz w:val="24"/>
          <w:szCs w:val="24"/>
          <w:lang w:val="en-US" w:eastAsia="zh-CN"/>
        </w:rPr>
        <w:t>响应表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实质性（“</w:t>
            </w:r>
            <w:r>
              <w:rPr>
                <w:rFonts w:hint="eastAsia" w:ascii="仿宋" w:hAnsi="仿宋" w:eastAsia="仿宋" w:cs="仿宋"/>
                <w:b/>
                <w:color w:val="000000"/>
                <w:sz w:val="21"/>
                <w:szCs w:val="21"/>
              </w:rPr>
              <w:t>★</w:t>
            </w:r>
            <w:r>
              <w:rPr>
                <w:rFonts w:hint="eastAsia" w:ascii="仿宋" w:hAnsi="仿宋" w:eastAsia="仿宋" w:cs="仿宋"/>
                <w:color w:val="000000"/>
                <w:sz w:val="21"/>
                <w:szCs w:val="21"/>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077"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名称</w:t>
            </w:r>
          </w:p>
        </w:tc>
        <w:tc>
          <w:tcPr>
            <w:tcW w:w="3651"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要求</w:t>
            </w:r>
          </w:p>
        </w:tc>
        <w:tc>
          <w:tcPr>
            <w:tcW w:w="736"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14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030" w:type="dxa"/>
            <w:shd w:val="clear" w:color="auto" w:fill="F1F1F1"/>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highlight w:val="yellow"/>
              </w:rPr>
            </w:pPr>
            <w:r>
              <w:rPr>
                <w:rFonts w:hint="eastAsia" w:ascii="仿宋" w:hAnsi="仿宋" w:eastAsia="仿宋" w:cs="仿宋"/>
                <w:color w:val="000000"/>
                <w:sz w:val="21"/>
                <w:szCs w:val="21"/>
                <w:highlight w:val="none"/>
              </w:rPr>
              <w:t>权利保证</w:t>
            </w:r>
          </w:p>
        </w:tc>
        <w:tc>
          <w:tcPr>
            <w:tcW w:w="3651" w:type="dxa"/>
            <w:noWrap w:val="0"/>
            <w:vAlign w:val="center"/>
          </w:tcPr>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仿宋" w:hAnsi="仿宋" w:eastAsia="仿宋" w:cs="仿宋"/>
                <w:color w:val="000000"/>
                <w:sz w:val="21"/>
                <w:szCs w:val="21"/>
                <w:highlight w:val="yellow"/>
              </w:rPr>
            </w:pPr>
            <w:r>
              <w:rPr>
                <w:rFonts w:hint="eastAsia" w:ascii="仿宋" w:hAnsi="仿宋" w:eastAsia="仿宋" w:cs="仿宋"/>
                <w:color w:val="000000"/>
                <w:sz w:val="21"/>
                <w:szCs w:val="21"/>
                <w:highlight w:val="none"/>
              </w:rPr>
              <w:t>卖方应保证出卖给买方的服务以及相关服务的任何部分非他人所有或与他人共有，未设有抵押权、租赁权，未侵犯他人的专利权、版权（法律上称：著作权）、商标权等知识产权，没有任何权利瑕疵。一旦卖方出卖的服务侵犯了任何第三人的合法权益，卖方应承担全部赔偿责任及买方因解决上述问题产生的支出（包括但不限于：诉讼费、律师费、交通费等费用）。</w:t>
            </w:r>
          </w:p>
        </w:tc>
        <w:tc>
          <w:tcPr>
            <w:tcW w:w="73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1077" w:type="dxa"/>
            <w:noWrap w:val="0"/>
            <w:vAlign w:val="center"/>
          </w:tcPr>
          <w:p>
            <w:pPr>
              <w:keepNext w:val="0"/>
              <w:keepLines w:val="0"/>
              <w:pageBreakBefore w:val="0"/>
              <w:widowControl w:val="0"/>
              <w:kinsoku/>
              <w:wordWrap/>
              <w:overflowPunct/>
              <w:topLinePunct w:val="0"/>
              <w:autoSpaceDE/>
              <w:autoSpaceDN/>
              <w:bidi w:val="0"/>
              <w:spacing w:line="240" w:lineRule="atLeas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服务周期与地点</w:t>
            </w:r>
          </w:p>
        </w:tc>
        <w:tc>
          <w:tcPr>
            <w:tcW w:w="3651" w:type="dxa"/>
            <w:noWrap w:val="0"/>
            <w:vAlign w:val="top"/>
          </w:tcPr>
          <w:p>
            <w:pPr>
              <w:keepNext w:val="0"/>
              <w:keepLines w:val="0"/>
              <w:pageBreakBefore w:val="0"/>
              <w:widowControl w:val="0"/>
              <w:kinsoku/>
              <w:wordWrap/>
              <w:overflowPunct/>
              <w:topLinePunct w:val="0"/>
              <w:autoSpaceDE/>
              <w:autoSpaceDN/>
              <w:bidi w:val="0"/>
              <w:spacing w:line="240" w:lineRule="atLeast"/>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接受服务周期与地点的要求。</w:t>
            </w:r>
          </w:p>
        </w:tc>
        <w:tc>
          <w:tcPr>
            <w:tcW w:w="736"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4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c>
          <w:tcPr>
            <w:tcW w:w="1030" w:type="dxa"/>
            <w:noWrap w:val="0"/>
            <w:vAlign w:val="top"/>
          </w:tcPr>
          <w:p>
            <w:pPr>
              <w:keepNext w:val="0"/>
              <w:keepLines w:val="0"/>
              <w:pageBreakBefore w:val="0"/>
              <w:widowControl w:val="0"/>
              <w:kinsoku/>
              <w:wordWrap/>
              <w:overflowPunct/>
              <w:topLinePunct w:val="0"/>
              <w:autoSpaceDE/>
              <w:autoSpaceDN/>
              <w:bidi w:val="0"/>
              <w:spacing w:line="240" w:lineRule="atLeast"/>
              <w:textAlignment w:val="auto"/>
              <w:rPr>
                <w:rFonts w:hint="eastAsia" w:ascii="仿宋" w:hAnsi="仿宋" w:eastAsia="仿宋" w:cs="仿宋"/>
                <w:color w:val="000000"/>
                <w:sz w:val="21"/>
                <w:szCs w:val="21"/>
              </w:rPr>
            </w:pPr>
          </w:p>
        </w:tc>
      </w:tr>
    </w:tbl>
    <w:p>
      <w:pPr>
        <w:adjustRightInd w:val="0"/>
        <w:snapToGrid w:val="0"/>
        <w:spacing w:line="300" w:lineRule="auto"/>
        <w:rPr>
          <w:rFonts w:hint="eastAsia" w:ascii="仿宋" w:hAnsi="仿宋" w:eastAsia="仿宋" w:cs="仿宋"/>
          <w:sz w:val="24"/>
          <w:lang w:val="en-GB"/>
        </w:rPr>
      </w:pPr>
      <w:r>
        <w:rPr>
          <w:rFonts w:hint="eastAsia" w:ascii="仿宋" w:hAnsi="仿宋" w:eastAsia="仿宋" w:cs="仿宋"/>
          <w:sz w:val="24"/>
        </w:rPr>
        <w:t>注：1.</w:t>
      </w:r>
      <w:r>
        <w:rPr>
          <w:rFonts w:hint="eastAsia" w:ascii="仿宋" w:hAnsi="仿宋" w:eastAsia="仿宋" w:cs="仿宋"/>
          <w:sz w:val="24"/>
          <w:lang w:val="en-GB"/>
        </w:rPr>
        <w:t>响应供应商</w:t>
      </w:r>
      <w:r>
        <w:rPr>
          <w:rFonts w:hint="eastAsia" w:ascii="仿宋" w:hAnsi="仿宋" w:eastAsia="仿宋" w:cs="仿宋"/>
          <w:sz w:val="24"/>
          <w:lang w:val="en-US" w:eastAsia="zh-CN"/>
        </w:rPr>
        <w:t>响应</w:t>
      </w:r>
      <w:r>
        <w:rPr>
          <w:rFonts w:hint="eastAsia" w:ascii="仿宋" w:hAnsi="仿宋" w:eastAsia="仿宋" w:cs="仿宋"/>
          <w:sz w:val="24"/>
        </w:rPr>
        <w:t>人必须对上述一般上述实质性商务条款逐条响应，</w:t>
      </w:r>
      <w:r>
        <w:rPr>
          <w:rFonts w:hint="eastAsia" w:ascii="仿宋" w:hAnsi="仿宋" w:eastAsia="仿宋" w:cs="仿宋"/>
          <w:b/>
          <w:bCs/>
          <w:sz w:val="24"/>
        </w:rPr>
        <w:t>如有缺漏，缺漏项视同不符合</w:t>
      </w:r>
      <w:r>
        <w:rPr>
          <w:rFonts w:hint="eastAsia" w:ascii="仿宋" w:hAnsi="仿宋" w:eastAsia="仿宋" w:cs="仿宋"/>
          <w:b/>
          <w:bCs/>
          <w:sz w:val="24"/>
          <w:lang w:val="en-US" w:eastAsia="zh-CN"/>
        </w:rPr>
        <w:t>采购</w:t>
      </w:r>
      <w:r>
        <w:rPr>
          <w:rFonts w:hint="eastAsia" w:ascii="仿宋" w:hAnsi="仿宋" w:eastAsia="仿宋" w:cs="仿宋"/>
          <w:b/>
          <w:bCs/>
          <w:sz w:val="24"/>
        </w:rPr>
        <w:t>要求。</w:t>
      </w:r>
      <w:r>
        <w:rPr>
          <w:rFonts w:hint="eastAsia" w:ascii="仿宋" w:hAnsi="仿宋" w:eastAsia="仿宋" w:cs="仿宋"/>
          <w:sz w:val="24"/>
        </w:rPr>
        <w:t>标“</w:t>
      </w:r>
      <w:r>
        <w:rPr>
          <w:rFonts w:hint="eastAsia" w:ascii="仿宋" w:hAnsi="仿宋" w:eastAsia="仿宋" w:cs="仿宋"/>
          <w:b/>
          <w:sz w:val="24"/>
        </w:rPr>
        <w:t>★</w:t>
      </w:r>
      <w:r>
        <w:rPr>
          <w:rFonts w:hint="eastAsia" w:ascii="仿宋" w:hAnsi="仿宋" w:eastAsia="仿宋" w:cs="仿宋"/>
          <w:sz w:val="24"/>
        </w:rPr>
        <w:t>”项为不可负偏离（劣于），任何一项负偏离该</w:t>
      </w:r>
      <w:r>
        <w:rPr>
          <w:rFonts w:hint="eastAsia" w:ascii="仿宋" w:hAnsi="仿宋" w:eastAsia="仿宋" w:cs="仿宋"/>
          <w:sz w:val="24"/>
          <w:lang w:val="en-US" w:eastAsia="zh-CN"/>
        </w:rPr>
        <w:t>响应</w:t>
      </w:r>
      <w:r>
        <w:rPr>
          <w:rFonts w:hint="eastAsia" w:ascii="仿宋" w:hAnsi="仿宋" w:eastAsia="仿宋" w:cs="仿宋"/>
          <w:sz w:val="24"/>
        </w:rPr>
        <w:t>无效。</w:t>
      </w:r>
      <w:r>
        <w:rPr>
          <w:rFonts w:hint="eastAsia" w:ascii="仿宋" w:hAnsi="仿宋" w:eastAsia="仿宋" w:cs="仿宋"/>
          <w:sz w:val="24"/>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sz w:val="24"/>
          <w:lang w:val="en-GB"/>
        </w:rPr>
      </w:pPr>
      <w:r>
        <w:rPr>
          <w:rFonts w:hint="eastAsia" w:ascii="仿宋" w:hAnsi="仿宋" w:eastAsia="仿宋" w:cs="仿宋"/>
          <w:sz w:val="24"/>
        </w:rPr>
        <w:t xml:space="preserve">    </w:t>
      </w:r>
      <w:r>
        <w:rPr>
          <w:rFonts w:hint="eastAsia" w:ascii="仿宋" w:hAnsi="仿宋" w:eastAsia="仿宋" w:cs="仿宋"/>
          <w:sz w:val="24"/>
          <w:lang w:val="en-GB"/>
        </w:rPr>
        <w:t>2.本表内容不得擅自修改。</w:t>
      </w:r>
    </w:p>
    <w:p>
      <w:pPr>
        <w:adjustRightInd w:val="0"/>
        <w:snapToGrid w:val="0"/>
        <w:spacing w:line="300" w:lineRule="auto"/>
        <w:rPr>
          <w:rFonts w:hint="eastAsia" w:ascii="仿宋" w:hAnsi="仿宋" w:eastAsia="仿宋" w:cs="仿宋"/>
          <w:sz w:val="24"/>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pStyle w:val="6"/>
        <w:pageBreakBefore w:val="0"/>
        <w:numPr>
          <w:ilvl w:val="0"/>
          <w:numId w:val="0"/>
        </w:numPr>
        <w:kinsoku/>
        <w:wordWrap/>
        <w:overflowPunct/>
        <w:topLinePunct w:val="0"/>
        <w:autoSpaceDE/>
        <w:autoSpaceDN/>
        <w:bidi w:val="0"/>
        <w:adjustRightInd/>
        <w:snapToGrid/>
        <w:spacing w:before="0" w:after="0" w:line="240" w:lineRule="atLeast"/>
        <w:ind w:leftChars="200"/>
        <w:jc w:val="center"/>
        <w:textAlignment w:val="auto"/>
        <w:rPr>
          <w:rFonts w:hint="eastAsia" w:ascii="仿宋" w:hAnsi="仿宋" w:eastAsia="仿宋" w:cs="仿宋"/>
          <w:sz w:val="24"/>
          <w:szCs w:val="24"/>
        </w:rPr>
      </w:pPr>
      <w:r>
        <w:rPr>
          <w:rFonts w:hint="eastAsia" w:ascii="仿宋" w:hAnsi="仿宋" w:eastAsia="仿宋" w:cs="仿宋"/>
          <w:sz w:val="24"/>
          <w:szCs w:val="24"/>
        </w:rPr>
        <w:br w:type="page"/>
      </w:r>
      <w:r>
        <w:rPr>
          <w:rFonts w:hint="eastAsia" w:ascii="方正仿宋_GBK" w:hAnsi="宋体" w:eastAsia="方正仿宋_GBK" w:cstheme="minorBidi"/>
          <w:b/>
          <w:bCs w:val="0"/>
          <w:kern w:val="2"/>
          <w:sz w:val="24"/>
          <w:szCs w:val="24"/>
          <w:lang w:val="en-US" w:eastAsia="zh-CN" w:bidi="ar-SA"/>
        </w:rPr>
        <w:t>四、一般条款响应表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一</w:t>
      </w:r>
      <w:r>
        <w:rPr>
          <w:rFonts w:hint="eastAsia" w:ascii="方正仿宋_GBK" w:hAnsi="宋体" w:eastAsia="方正仿宋_GBK"/>
          <w:b/>
          <w:sz w:val="24"/>
          <w:szCs w:val="24"/>
          <w:lang w:eastAsia="zh-CN"/>
        </w:rPr>
        <w:t>）</w:t>
      </w:r>
      <w:r>
        <w:rPr>
          <w:rFonts w:hint="eastAsia" w:ascii="方正仿宋_GBK" w:hAnsi="宋体" w:eastAsia="方正仿宋_GBK"/>
          <w:b/>
          <w:sz w:val="24"/>
          <w:szCs w:val="24"/>
        </w:rPr>
        <w:t>技术要求部分</w:t>
      </w:r>
    </w:p>
    <w:p>
      <w:pPr>
        <w:spacing w:line="400" w:lineRule="exact"/>
        <w:ind w:firstLine="480" w:firstLineChars="200"/>
        <w:rPr>
          <w:rFonts w:hint="eastAsia"/>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技术响应偏离表</w:t>
      </w:r>
    </w:p>
    <w:tbl>
      <w:tblPr>
        <w:tblStyle w:val="13"/>
        <w:tblW w:w="10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761"/>
        <w:gridCol w:w="679"/>
        <w:gridCol w:w="1008"/>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51"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6761"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一般</w:t>
            </w:r>
            <w:r>
              <w:rPr>
                <w:rFonts w:hint="eastAsia" w:ascii="仿宋" w:hAnsi="仿宋" w:eastAsia="仿宋" w:cs="仿宋"/>
                <w:color w:val="000000"/>
                <w:sz w:val="21"/>
                <w:szCs w:val="21"/>
                <w:lang w:val="en-US" w:eastAsia="zh-CN"/>
              </w:rPr>
              <w:t>技术</w:t>
            </w:r>
            <w:r>
              <w:rPr>
                <w:rFonts w:hint="eastAsia" w:ascii="仿宋" w:hAnsi="仿宋" w:eastAsia="仿宋" w:cs="仿宋"/>
                <w:color w:val="000000"/>
                <w:sz w:val="21"/>
                <w:szCs w:val="21"/>
              </w:rPr>
              <w:t>条款要求</w:t>
            </w:r>
          </w:p>
        </w:tc>
        <w:tc>
          <w:tcPr>
            <w:tcW w:w="679"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1008"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514"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761"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完全理解并接受</w:t>
            </w:r>
            <w:r>
              <w:rPr>
                <w:rFonts w:hint="eastAsia" w:ascii="仿宋" w:hAnsi="仿宋" w:eastAsia="仿宋" w:cs="仿宋"/>
                <w:color w:val="000000"/>
                <w:sz w:val="21"/>
                <w:szCs w:val="21"/>
                <w:lang w:val="en-US" w:eastAsia="zh-CN"/>
              </w:rPr>
              <w:t>医用气体配送规格及氧气瓶检测服务要求</w:t>
            </w:r>
          </w:p>
        </w:tc>
        <w:tc>
          <w:tcPr>
            <w:tcW w:w="679" w:type="dxa"/>
            <w:noWrap w:val="0"/>
            <w:vAlign w:val="center"/>
          </w:tcPr>
          <w:p>
            <w:pPr>
              <w:pStyle w:val="19"/>
              <w:keepNext w:val="0"/>
              <w:pageBreakBefore w:val="0"/>
              <w:kinsoku/>
              <w:wordWrap/>
              <w:overflowPunct/>
              <w:topLinePunct w:val="0"/>
              <w:autoSpaceDE/>
              <w:autoSpaceDN/>
              <w:bidi w:val="0"/>
              <w:adjustRightInd/>
              <w:snapToGrid/>
              <w:spacing w:before="0" w:after="0" w:line="240" w:lineRule="atLeast"/>
              <w:ind w:right="0"/>
              <w:textAlignment w:val="auto"/>
              <w:rPr>
                <w:rFonts w:hint="eastAsia" w:ascii="仿宋" w:hAnsi="仿宋" w:eastAsia="仿宋" w:cs="仿宋"/>
                <w:snapToGrid/>
                <w:color w:val="000000"/>
                <w:spacing w:val="0"/>
                <w:kern w:val="2"/>
                <w:sz w:val="21"/>
                <w:szCs w:val="21"/>
              </w:rPr>
            </w:pPr>
          </w:p>
        </w:tc>
        <w:tc>
          <w:tcPr>
            <w:tcW w:w="1008"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14"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6761"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完全理解并接受其他服务内容与质量要求</w:t>
            </w:r>
          </w:p>
        </w:tc>
        <w:tc>
          <w:tcPr>
            <w:tcW w:w="679" w:type="dxa"/>
            <w:noWrap w:val="0"/>
            <w:vAlign w:val="center"/>
          </w:tcPr>
          <w:p>
            <w:pPr>
              <w:pStyle w:val="19"/>
              <w:keepNext w:val="0"/>
              <w:pageBreakBefore w:val="0"/>
              <w:kinsoku/>
              <w:wordWrap/>
              <w:overflowPunct/>
              <w:topLinePunct w:val="0"/>
              <w:autoSpaceDE/>
              <w:autoSpaceDN/>
              <w:bidi w:val="0"/>
              <w:adjustRightInd/>
              <w:snapToGrid/>
              <w:spacing w:before="0" w:after="0" w:line="240" w:lineRule="atLeast"/>
              <w:ind w:right="0"/>
              <w:textAlignment w:val="auto"/>
              <w:rPr>
                <w:rFonts w:hint="eastAsia" w:ascii="仿宋" w:hAnsi="仿宋" w:eastAsia="仿宋" w:cs="仿宋"/>
                <w:snapToGrid/>
                <w:color w:val="000000"/>
                <w:spacing w:val="0"/>
                <w:kern w:val="2"/>
                <w:sz w:val="21"/>
                <w:szCs w:val="21"/>
              </w:rPr>
            </w:pPr>
          </w:p>
        </w:tc>
        <w:tc>
          <w:tcPr>
            <w:tcW w:w="1008"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14"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bl>
    <w:p>
      <w:pPr>
        <w:rPr>
          <w:rFonts w:hint="eastAsia" w:ascii="仿宋" w:hAnsi="仿宋" w:eastAsia="仿宋" w:cs="仿宋"/>
          <w:sz w:val="24"/>
          <w:lang w:val="en-GB"/>
        </w:rPr>
      </w:pPr>
      <w:r>
        <w:rPr>
          <w:rFonts w:hint="eastAsia" w:ascii="仿宋" w:hAnsi="仿宋" w:eastAsia="仿宋" w:cs="仿宋"/>
          <w:sz w:val="24"/>
          <w:lang w:val="en-GB"/>
        </w:rPr>
        <w:t>注： 1.响应供应</w:t>
      </w:r>
      <w:r>
        <w:rPr>
          <w:rFonts w:hint="eastAsia" w:ascii="仿宋" w:hAnsi="仿宋" w:eastAsia="仿宋" w:cs="仿宋"/>
          <w:sz w:val="24"/>
          <w:lang w:val="en-US" w:eastAsia="zh-CN"/>
        </w:rPr>
        <w:t>商响应</w:t>
      </w:r>
      <w:r>
        <w:rPr>
          <w:rFonts w:hint="eastAsia" w:ascii="仿宋" w:hAnsi="仿宋" w:eastAsia="仿宋" w:cs="仿宋"/>
          <w:sz w:val="24"/>
        </w:rPr>
        <w:t>人必须对上述一般商务条款逐条响应。</w:t>
      </w:r>
      <w:r>
        <w:rPr>
          <w:rFonts w:hint="eastAsia" w:ascii="仿宋" w:hAnsi="仿宋" w:eastAsia="仿宋" w:cs="仿宋"/>
          <w:b/>
          <w:bCs/>
          <w:sz w:val="24"/>
        </w:rPr>
        <w:t>如有缺漏项视同不符合对应条款之要求。</w:t>
      </w:r>
      <w:r>
        <w:rPr>
          <w:rFonts w:hint="eastAsia" w:ascii="仿宋" w:hAnsi="仿宋" w:eastAsia="仿宋" w:cs="仿宋"/>
          <w:sz w:val="24"/>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sz w:val="24"/>
          <w:lang w:val="en-GB"/>
        </w:rPr>
      </w:pPr>
      <w:r>
        <w:rPr>
          <w:rFonts w:hint="eastAsia" w:ascii="仿宋" w:hAnsi="仿宋" w:eastAsia="仿宋" w:cs="仿宋"/>
          <w:sz w:val="24"/>
          <w:lang w:val="en-GB"/>
        </w:rPr>
        <w:t xml:space="preserve"> 2.本表内容不得擅自修改。</w:t>
      </w:r>
    </w:p>
    <w:p>
      <w:pPr>
        <w:ind w:firstLine="420"/>
        <w:rPr>
          <w:rFonts w:hint="eastAsia" w:ascii="仿宋" w:hAnsi="仿宋" w:eastAsia="仿宋" w:cs="仿宋"/>
          <w:szCs w:val="21"/>
          <w:lang w:val="en-GB"/>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pStyle w:val="2"/>
        <w:numPr>
          <w:ilvl w:val="0"/>
          <w:numId w:val="0"/>
        </w:numPr>
        <w:ind w:leftChars="100"/>
        <w:rPr>
          <w:rFonts w:hint="eastAsia" w:ascii="仿宋" w:hAnsi="仿宋" w:eastAsia="仿宋" w:cs="仿宋"/>
          <w:sz w:val="24"/>
        </w:rPr>
      </w:pPr>
    </w:p>
    <w:p>
      <w:pPr>
        <w:rPr>
          <w:rFonts w:hint="eastAsia"/>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其他资料（</w:t>
      </w:r>
      <w:r>
        <w:rPr>
          <w:rFonts w:hint="eastAsia" w:ascii="方正仿宋_GBK" w:hAnsi="宋体" w:eastAsia="方正仿宋_GBK"/>
          <w:sz w:val="24"/>
          <w:szCs w:val="24"/>
          <w:lang w:val="en-US" w:eastAsia="zh-CN"/>
        </w:rPr>
        <w:t>无</w:t>
      </w:r>
      <w:r>
        <w:rPr>
          <w:rFonts w:hint="eastAsia" w:ascii="方正仿宋_GBK" w:hAnsi="宋体" w:eastAsia="方正仿宋_GBK"/>
          <w:sz w:val="24"/>
          <w:szCs w:val="24"/>
        </w:rPr>
        <w:t>）</w:t>
      </w:r>
    </w:p>
    <w:p>
      <w:pPr>
        <w:spacing w:line="400" w:lineRule="exact"/>
        <w:rPr>
          <w:rFonts w:ascii="方正仿宋_GBK" w:hAnsi="宋体" w:eastAsia="方正仿宋_GBK"/>
          <w:b/>
          <w:sz w:val="24"/>
          <w:szCs w:val="24"/>
        </w:rPr>
      </w:pPr>
      <w:r>
        <w:rPr>
          <w:rFonts w:hint="eastAsia" w:ascii="仿宋" w:hAnsi="仿宋" w:eastAsia="仿宋" w:cs="仿宋"/>
          <w:sz w:val="24"/>
        </w:rPr>
        <w:br w:type="page"/>
      </w:r>
      <w:r>
        <w:rPr>
          <w:rFonts w:hint="eastAsia" w:ascii="方正仿宋_GBK" w:hAnsi="宋体" w:eastAsia="方正仿宋_GBK"/>
          <w:b/>
          <w:sz w:val="24"/>
          <w:szCs w:val="24"/>
          <w:lang w:val="en-US" w:eastAsia="zh-CN"/>
        </w:rPr>
        <w:t>（二）商务</w:t>
      </w:r>
      <w:r>
        <w:rPr>
          <w:rFonts w:hint="eastAsia" w:ascii="方正仿宋_GBK" w:hAnsi="宋体" w:eastAsia="方正仿宋_GBK"/>
          <w:b/>
          <w:sz w:val="24"/>
          <w:szCs w:val="24"/>
        </w:rPr>
        <w:t>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1.商务</w:t>
      </w:r>
      <w:r>
        <w:rPr>
          <w:rFonts w:hint="eastAsia" w:ascii="方正仿宋_GBK" w:hAnsi="宋体" w:eastAsia="方正仿宋_GBK"/>
          <w:sz w:val="24"/>
          <w:szCs w:val="24"/>
        </w:rPr>
        <w:t>响应偏离表</w:t>
      </w:r>
    </w:p>
    <w:tbl>
      <w:tblPr>
        <w:tblStyle w:val="13"/>
        <w:tblW w:w="10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737"/>
        <w:gridCol w:w="703"/>
        <w:gridCol w:w="949"/>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1"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6737"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一般商务条款要求</w:t>
            </w:r>
          </w:p>
        </w:tc>
        <w:tc>
          <w:tcPr>
            <w:tcW w:w="703"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是否响应</w:t>
            </w:r>
          </w:p>
        </w:tc>
        <w:tc>
          <w:tcPr>
            <w:tcW w:w="949"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偏离情况（正/负/无）</w:t>
            </w:r>
          </w:p>
        </w:tc>
        <w:tc>
          <w:tcPr>
            <w:tcW w:w="1573" w:type="dxa"/>
            <w:shd w:val="clear" w:color="auto" w:fill="F3F3F3"/>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6737" w:type="dxa"/>
            <w:noWrap w:val="0"/>
            <w:vAlign w:val="center"/>
          </w:tcPr>
          <w:p>
            <w:pPr>
              <w:pageBreakBefore w:val="0"/>
              <w:kinsoku/>
              <w:wordWrap/>
              <w:overflowPunct/>
              <w:topLinePunct w:val="0"/>
              <w:autoSpaceDE/>
              <w:autoSpaceDN/>
              <w:bidi w:val="0"/>
              <w:adjustRightInd/>
              <w:snapToGrid/>
              <w:spacing w:line="240" w:lineRule="atLeast"/>
              <w:ind w:right="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完全理解并接受</w:t>
            </w:r>
            <w:r>
              <w:rPr>
                <w:rFonts w:hint="eastAsia" w:ascii="仿宋" w:hAnsi="仿宋" w:eastAsia="仿宋" w:cs="仿宋"/>
                <w:color w:val="000000"/>
                <w:sz w:val="21"/>
                <w:szCs w:val="21"/>
                <w:lang w:val="en-US" w:eastAsia="zh-CN"/>
              </w:rPr>
              <w:t>项目要求与采购人双方协商根据采购文件、响应文件签订</w:t>
            </w:r>
            <w:r>
              <w:rPr>
                <w:rFonts w:hint="eastAsia" w:ascii="仿宋" w:hAnsi="仿宋" w:eastAsia="仿宋" w:cs="仿宋"/>
                <w:color w:val="000000"/>
                <w:sz w:val="21"/>
                <w:szCs w:val="21"/>
              </w:rPr>
              <w:t>合同</w:t>
            </w:r>
          </w:p>
        </w:tc>
        <w:tc>
          <w:tcPr>
            <w:tcW w:w="703" w:type="dxa"/>
            <w:noWrap w:val="0"/>
            <w:vAlign w:val="center"/>
          </w:tcPr>
          <w:p>
            <w:pPr>
              <w:pStyle w:val="19"/>
              <w:keepNext w:val="0"/>
              <w:pageBreakBefore w:val="0"/>
              <w:kinsoku/>
              <w:wordWrap/>
              <w:overflowPunct/>
              <w:topLinePunct w:val="0"/>
              <w:autoSpaceDE/>
              <w:autoSpaceDN/>
              <w:bidi w:val="0"/>
              <w:adjustRightInd/>
              <w:snapToGrid/>
              <w:spacing w:before="0" w:after="0" w:line="240" w:lineRule="atLeast"/>
              <w:ind w:right="0"/>
              <w:textAlignment w:val="auto"/>
              <w:rPr>
                <w:rFonts w:hint="eastAsia" w:ascii="仿宋" w:hAnsi="仿宋" w:eastAsia="仿宋" w:cs="仿宋"/>
                <w:snapToGrid/>
                <w:color w:val="000000"/>
                <w:spacing w:val="0"/>
                <w:kern w:val="2"/>
                <w:sz w:val="21"/>
                <w:szCs w:val="21"/>
              </w:rPr>
            </w:pPr>
          </w:p>
        </w:tc>
        <w:tc>
          <w:tcPr>
            <w:tcW w:w="949"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1"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6737" w:type="dxa"/>
            <w:noWrap w:val="0"/>
            <w:vAlign w:val="center"/>
          </w:tcPr>
          <w:p>
            <w:pPr>
              <w:pStyle w:val="20"/>
              <w:pageBreakBefore w:val="0"/>
              <w:kinsoku/>
              <w:wordWrap/>
              <w:overflowPunct/>
              <w:topLinePunct w:val="0"/>
              <w:autoSpaceDE/>
              <w:autoSpaceDN/>
              <w:bidi w:val="0"/>
              <w:adjustRightInd/>
              <w:snapToGrid/>
              <w:spacing w:line="240" w:lineRule="atLeast"/>
              <w:ind w:left="0" w:leftChars="0" w:firstLine="0" w:firstLineChars="0"/>
              <w:textAlignment w:val="auto"/>
              <w:rPr>
                <w:rFonts w:hint="default" w:ascii="仿宋" w:hAnsi="仿宋" w:eastAsia="仿宋" w:cs="仿宋"/>
                <w:sz w:val="21"/>
                <w:szCs w:val="21"/>
                <w:lang w:val="en-US" w:eastAsia="zh-CN"/>
              </w:rPr>
            </w:pPr>
            <w:r>
              <w:rPr>
                <w:rFonts w:hint="eastAsia" w:ascii="仿宋" w:hAnsi="仿宋" w:eastAsia="仿宋" w:cs="仿宋"/>
                <w:color w:val="000000"/>
                <w:sz w:val="21"/>
                <w:szCs w:val="21"/>
              </w:rPr>
              <w:t>完全理解并接受</w:t>
            </w:r>
            <w:r>
              <w:rPr>
                <w:rFonts w:hint="eastAsia" w:ascii="仿宋" w:hAnsi="仿宋" w:eastAsia="仿宋" w:cs="仿宋"/>
                <w:color w:val="000000"/>
                <w:sz w:val="21"/>
                <w:szCs w:val="21"/>
                <w:lang w:val="en-US" w:eastAsia="zh-CN"/>
              </w:rPr>
              <w:t>付款方式</w:t>
            </w:r>
          </w:p>
        </w:tc>
        <w:tc>
          <w:tcPr>
            <w:tcW w:w="703"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napToGri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6737" w:type="dxa"/>
            <w:noWrap w:val="0"/>
            <w:vAlign w:val="center"/>
          </w:tcPr>
          <w:p>
            <w:pPr>
              <w:pStyle w:val="11"/>
              <w:pageBreakBefore w:val="0"/>
              <w:kinsoku/>
              <w:wordWrap/>
              <w:overflowPunct/>
              <w:topLinePunct w:val="0"/>
              <w:autoSpaceDE/>
              <w:autoSpaceDN/>
              <w:bidi w:val="0"/>
              <w:adjustRightInd/>
              <w:spacing w:line="240" w:lineRule="atLeast"/>
              <w:ind w:right="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rPr>
              <w:t>完全理解并接受</w:t>
            </w:r>
            <w:r>
              <w:rPr>
                <w:rFonts w:hint="eastAsia" w:ascii="仿宋" w:hAnsi="仿宋" w:eastAsia="仿宋" w:cs="仿宋"/>
                <w:sz w:val="21"/>
                <w:szCs w:val="21"/>
                <w:lang w:val="en-US" w:eastAsia="zh-CN"/>
              </w:rPr>
              <w:t>配送要求</w:t>
            </w:r>
          </w:p>
        </w:tc>
        <w:tc>
          <w:tcPr>
            <w:tcW w:w="70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6737" w:type="dxa"/>
            <w:noWrap w:val="0"/>
            <w:vAlign w:val="center"/>
          </w:tcPr>
          <w:p>
            <w:pPr>
              <w:pStyle w:val="11"/>
              <w:pageBreakBefore w:val="0"/>
              <w:kinsoku/>
              <w:wordWrap/>
              <w:overflowPunct/>
              <w:topLinePunct w:val="0"/>
              <w:autoSpaceDE/>
              <w:autoSpaceDN/>
              <w:bidi w:val="0"/>
              <w:adjustRightInd/>
              <w:spacing w:line="240" w:lineRule="atLeast"/>
              <w:ind w:right="0"/>
              <w:textAlignment w:val="auto"/>
              <w:rPr>
                <w:rFonts w:hint="eastAsia" w:ascii="仿宋" w:hAnsi="仿宋" w:eastAsia="仿宋" w:cs="仿宋"/>
                <w:sz w:val="21"/>
                <w:szCs w:val="21"/>
              </w:rPr>
            </w:pPr>
            <w:r>
              <w:rPr>
                <w:rFonts w:hint="eastAsia" w:ascii="仿宋" w:hAnsi="仿宋" w:eastAsia="仿宋" w:cs="仿宋"/>
                <w:sz w:val="21"/>
                <w:szCs w:val="21"/>
              </w:rPr>
              <w:t>完全理解并接受违约责任要求</w:t>
            </w:r>
          </w:p>
        </w:tc>
        <w:tc>
          <w:tcPr>
            <w:tcW w:w="70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6737" w:type="dxa"/>
            <w:noWrap w:val="0"/>
            <w:vAlign w:val="center"/>
          </w:tcPr>
          <w:p>
            <w:pPr>
              <w:pStyle w:val="11"/>
              <w:pageBreakBefore w:val="0"/>
              <w:kinsoku/>
              <w:wordWrap/>
              <w:overflowPunct/>
              <w:topLinePunct w:val="0"/>
              <w:autoSpaceDE/>
              <w:autoSpaceDN/>
              <w:bidi w:val="0"/>
              <w:adjustRightInd/>
              <w:spacing w:line="240" w:lineRule="atLeast"/>
              <w:ind w:right="0"/>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rPr>
              <w:t>同意采购人及监管部门以任何形式对我方报价文件内容及采购人及监管部门认为有必要的相关资料的真实性和有效性进行审查、验证</w:t>
            </w:r>
          </w:p>
        </w:tc>
        <w:tc>
          <w:tcPr>
            <w:tcW w:w="70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949"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c>
          <w:tcPr>
            <w:tcW w:w="1573" w:type="dxa"/>
            <w:noWrap w:val="0"/>
            <w:vAlign w:val="center"/>
          </w:tcPr>
          <w:p>
            <w:pPr>
              <w:pageBreakBefore w:val="0"/>
              <w:kinsoku/>
              <w:wordWrap/>
              <w:overflowPunct/>
              <w:topLinePunct w:val="0"/>
              <w:autoSpaceDE/>
              <w:autoSpaceDN/>
              <w:bidi w:val="0"/>
              <w:adjustRightInd/>
              <w:spacing w:line="240" w:lineRule="atLeast"/>
              <w:ind w:right="0"/>
              <w:jc w:val="center"/>
              <w:textAlignment w:val="auto"/>
              <w:rPr>
                <w:rFonts w:hint="eastAsia" w:ascii="仿宋" w:hAnsi="仿宋" w:eastAsia="仿宋" w:cs="仿宋"/>
                <w:color w:val="000000"/>
                <w:sz w:val="21"/>
                <w:szCs w:val="21"/>
              </w:rPr>
            </w:pPr>
          </w:p>
        </w:tc>
      </w:tr>
    </w:tbl>
    <w:p>
      <w:pPr>
        <w:rPr>
          <w:rFonts w:hint="eastAsia" w:ascii="仿宋" w:hAnsi="仿宋" w:eastAsia="仿宋" w:cs="仿宋"/>
          <w:sz w:val="24"/>
          <w:lang w:val="en-GB"/>
        </w:rPr>
      </w:pPr>
      <w:r>
        <w:rPr>
          <w:rFonts w:hint="eastAsia" w:ascii="仿宋" w:hAnsi="仿宋" w:eastAsia="仿宋" w:cs="仿宋"/>
          <w:sz w:val="24"/>
          <w:lang w:val="en-GB"/>
        </w:rPr>
        <w:t>注： 1.响应供应</w:t>
      </w:r>
      <w:r>
        <w:rPr>
          <w:rFonts w:hint="eastAsia" w:ascii="仿宋" w:hAnsi="仿宋" w:eastAsia="仿宋" w:cs="仿宋"/>
          <w:sz w:val="24"/>
          <w:lang w:val="en-US" w:eastAsia="zh-CN"/>
        </w:rPr>
        <w:t>商响应</w:t>
      </w:r>
      <w:r>
        <w:rPr>
          <w:rFonts w:hint="eastAsia" w:ascii="仿宋" w:hAnsi="仿宋" w:eastAsia="仿宋" w:cs="仿宋"/>
          <w:sz w:val="24"/>
        </w:rPr>
        <w:t>人必须对上述一般商务条款逐条响应。</w:t>
      </w:r>
      <w:r>
        <w:rPr>
          <w:rFonts w:hint="eastAsia" w:ascii="仿宋" w:hAnsi="仿宋" w:eastAsia="仿宋" w:cs="仿宋"/>
          <w:b/>
          <w:bCs/>
          <w:sz w:val="24"/>
        </w:rPr>
        <w:t>如有缺漏项视同不符合对应条款之要求。</w:t>
      </w:r>
      <w:r>
        <w:rPr>
          <w:rFonts w:hint="eastAsia" w:ascii="仿宋" w:hAnsi="仿宋" w:eastAsia="仿宋" w:cs="仿宋"/>
          <w:sz w:val="24"/>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sz w:val="24"/>
          <w:lang w:val="en-GB"/>
        </w:rPr>
      </w:pPr>
      <w:r>
        <w:rPr>
          <w:rFonts w:hint="eastAsia" w:ascii="仿宋" w:hAnsi="仿宋" w:eastAsia="仿宋" w:cs="仿宋"/>
          <w:sz w:val="24"/>
          <w:lang w:val="en-GB"/>
        </w:rPr>
        <w:t xml:space="preserve"> 2.本表内容不得擅自修改。</w:t>
      </w:r>
    </w:p>
    <w:p>
      <w:pPr>
        <w:ind w:firstLine="420"/>
        <w:rPr>
          <w:rFonts w:hint="eastAsia" w:ascii="仿宋" w:hAnsi="仿宋" w:eastAsia="仿宋" w:cs="仿宋"/>
          <w:szCs w:val="21"/>
          <w:lang w:val="en-GB"/>
        </w:rPr>
      </w:pP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0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pStyle w:val="16"/>
        <w:jc w:val="both"/>
        <w:rPr>
          <w:rFonts w:hint="eastAsia" w:ascii="仿宋" w:hAnsi="仿宋" w:eastAsia="仿宋" w:cs="仿宋"/>
          <w:sz w:val="24"/>
        </w:rPr>
      </w:pPr>
    </w:p>
    <w:p>
      <w:pPr>
        <w:spacing w:line="400" w:lineRule="exact"/>
        <w:ind w:firstLine="480" w:firstLineChars="200"/>
        <w:rPr>
          <w:rFonts w:hint="eastAsia" w:ascii="仿宋" w:hAnsi="仿宋" w:eastAsia="仿宋" w:cs="仿宋"/>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其它服务承诺（格式</w:t>
      </w:r>
      <w:r>
        <w:rPr>
          <w:rFonts w:hint="eastAsia" w:ascii="方正仿宋_GBK" w:hAnsi="宋体" w:eastAsia="方正仿宋_GBK"/>
          <w:sz w:val="24"/>
          <w:szCs w:val="24"/>
          <w:lang w:val="en-US" w:eastAsia="zh-CN"/>
        </w:rPr>
        <w:t>仅供参考</w:t>
      </w:r>
      <w:r>
        <w:rPr>
          <w:rFonts w:hint="eastAsia" w:ascii="方正仿宋_GBK" w:hAnsi="宋体" w:eastAsia="方正仿宋_GBK"/>
          <w:sz w:val="24"/>
          <w:szCs w:val="24"/>
        </w:rPr>
        <w:t>）</w:t>
      </w:r>
    </w:p>
    <w:p>
      <w:pPr>
        <w:pStyle w:val="6"/>
        <w:jc w:val="center"/>
        <w:rPr>
          <w:rFonts w:hint="eastAsia" w:ascii="仿宋" w:hAnsi="仿宋" w:eastAsia="仿宋" w:cs="仿宋"/>
          <w:sz w:val="24"/>
          <w:szCs w:val="24"/>
        </w:rPr>
      </w:pPr>
      <w:r>
        <w:rPr>
          <w:rFonts w:hint="eastAsia" w:ascii="仿宋" w:hAnsi="仿宋" w:eastAsia="仿宋" w:cs="仿宋"/>
          <w:sz w:val="24"/>
          <w:szCs w:val="24"/>
        </w:rPr>
        <w:t>售后服务方案（或承诺书）</w:t>
      </w:r>
    </w:p>
    <w:p>
      <w:pPr>
        <w:spacing w:line="360" w:lineRule="auto"/>
        <w:ind w:firstLine="480" w:firstLineChars="200"/>
        <w:rPr>
          <w:rFonts w:hint="eastAsia" w:ascii="仿宋" w:hAnsi="仿宋" w:eastAsia="仿宋" w:cs="仿宋"/>
          <w:sz w:val="24"/>
          <w:lang w:val="en-GB" w:eastAsia="zh-CN"/>
        </w:rPr>
      </w:pPr>
      <w:r>
        <w:rPr>
          <w:rFonts w:hint="eastAsia" w:ascii="仿宋" w:hAnsi="仿宋" w:eastAsia="仿宋" w:cs="仿宋"/>
          <w:sz w:val="24"/>
          <w:lang w:val="en-GB"/>
        </w:rPr>
        <w:t>售后服务须包括但不限于以下内容</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GB"/>
        </w:rPr>
        <w:t>1.应急</w:t>
      </w:r>
      <w:r>
        <w:rPr>
          <w:rFonts w:hint="eastAsia" w:ascii="仿宋" w:hAnsi="仿宋" w:eastAsia="仿宋" w:cs="仿宋"/>
          <w:sz w:val="24"/>
          <w:lang w:val="en-US" w:eastAsia="zh-CN"/>
        </w:rPr>
        <w:t>配送</w:t>
      </w:r>
      <w:r>
        <w:rPr>
          <w:rFonts w:hint="eastAsia" w:ascii="仿宋" w:hAnsi="仿宋" w:eastAsia="仿宋" w:cs="仿宋"/>
          <w:sz w:val="24"/>
          <w:lang w:val="en-GB"/>
        </w:rPr>
        <w:t>时间安排（含电话响应、</w:t>
      </w:r>
      <w:r>
        <w:rPr>
          <w:rFonts w:hint="eastAsia" w:ascii="仿宋" w:hAnsi="仿宋" w:eastAsia="仿宋" w:cs="仿宋"/>
          <w:sz w:val="24"/>
          <w:lang w:val="en-US" w:eastAsia="zh-CN"/>
        </w:rPr>
        <w:t>配送</w:t>
      </w:r>
      <w:r>
        <w:rPr>
          <w:rFonts w:hint="eastAsia" w:ascii="仿宋" w:hAnsi="仿宋" w:eastAsia="仿宋" w:cs="仿宋"/>
          <w:sz w:val="24"/>
          <w:lang w:val="en-GB"/>
        </w:rPr>
        <w:t>到现场）；</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US" w:eastAsia="zh-CN"/>
        </w:rPr>
        <w:t>2</w:t>
      </w:r>
      <w:r>
        <w:rPr>
          <w:rFonts w:hint="eastAsia" w:ascii="仿宋" w:hAnsi="仿宋" w:eastAsia="仿宋" w:cs="仿宋"/>
          <w:sz w:val="24"/>
          <w:lang w:val="en-GB"/>
        </w:rPr>
        <w:t>.</w:t>
      </w:r>
      <w:r>
        <w:rPr>
          <w:rFonts w:hint="eastAsia" w:ascii="仿宋" w:hAnsi="仿宋" w:eastAsia="仿宋" w:cs="仿宋"/>
          <w:sz w:val="24"/>
          <w:lang w:val="en-US" w:eastAsia="zh-CN"/>
        </w:rPr>
        <w:t>充装、检测</w:t>
      </w:r>
      <w:r>
        <w:rPr>
          <w:rFonts w:hint="eastAsia" w:ascii="仿宋" w:hAnsi="仿宋" w:eastAsia="仿宋" w:cs="仿宋"/>
          <w:sz w:val="24"/>
          <w:lang w:val="en-GB"/>
        </w:rPr>
        <w:t>地点、地址、联系电话及</w:t>
      </w:r>
      <w:r>
        <w:rPr>
          <w:rFonts w:hint="eastAsia" w:ascii="仿宋" w:hAnsi="仿宋" w:eastAsia="仿宋" w:cs="仿宋"/>
          <w:sz w:val="24"/>
          <w:lang w:val="en-US" w:eastAsia="zh-CN"/>
        </w:rPr>
        <w:t>司机人员、</w:t>
      </w:r>
      <w:r>
        <w:rPr>
          <w:rFonts w:hint="eastAsia" w:ascii="仿宋" w:hAnsi="仿宋" w:eastAsia="仿宋" w:cs="仿宋"/>
          <w:sz w:val="24"/>
          <w:lang w:val="en-GB"/>
        </w:rPr>
        <w:t>技术服务人员；</w:t>
      </w:r>
    </w:p>
    <w:p>
      <w:pPr>
        <w:spacing w:line="360" w:lineRule="auto"/>
        <w:ind w:firstLine="480" w:firstLineChars="200"/>
        <w:rPr>
          <w:rFonts w:hint="eastAsia" w:ascii="仿宋" w:hAnsi="仿宋" w:eastAsia="仿宋" w:cs="仿宋"/>
          <w:sz w:val="24"/>
          <w:lang w:val="en-GB"/>
        </w:rPr>
      </w:pPr>
      <w:r>
        <w:rPr>
          <w:rFonts w:hint="eastAsia" w:ascii="仿宋" w:hAnsi="仿宋" w:eastAsia="仿宋" w:cs="仿宋"/>
          <w:sz w:val="24"/>
          <w:lang w:val="en-US" w:eastAsia="zh-CN"/>
        </w:rPr>
        <w:t>3</w:t>
      </w:r>
      <w:r>
        <w:rPr>
          <w:rFonts w:hint="eastAsia" w:ascii="仿宋" w:hAnsi="仿宋" w:eastAsia="仿宋" w:cs="仿宋"/>
          <w:sz w:val="24"/>
          <w:lang w:val="en-GB"/>
        </w:rPr>
        <w:t>.其它服务承诺；</w:t>
      </w:r>
    </w:p>
    <w:p>
      <w:pPr>
        <w:spacing w:line="360" w:lineRule="auto"/>
        <w:ind w:firstLine="480" w:firstLineChars="200"/>
        <w:rPr>
          <w:rFonts w:hint="eastAsia" w:ascii="仿宋" w:hAnsi="仿宋" w:eastAsia="仿宋" w:cs="仿宋"/>
          <w:sz w:val="24"/>
          <w:lang w:val="en-GB"/>
        </w:rPr>
      </w:pPr>
    </w:p>
    <w:p>
      <w:pPr>
        <w:pStyle w:val="2"/>
        <w:rPr>
          <w:rFonts w:hint="eastAsia"/>
          <w:lang w:val="en-GB"/>
        </w:rPr>
      </w:pP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响应供应商法定代表人（或法定代表人授权代表）签字：</w:t>
      </w:r>
      <w:r>
        <w:rPr>
          <w:rFonts w:hint="eastAsia" w:ascii="仿宋" w:hAnsi="仿宋" w:eastAsia="仿宋" w:cs="仿宋"/>
          <w:sz w:val="24"/>
          <w:u w:val="single"/>
        </w:rPr>
        <w:t xml:space="preserve">                   </w:t>
      </w:r>
    </w:p>
    <w:p>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响应供应商名称（</w:t>
      </w:r>
      <w:r>
        <w:rPr>
          <w:rFonts w:hint="eastAsia" w:ascii="仿宋" w:hAnsi="仿宋" w:eastAsia="仿宋" w:cs="仿宋"/>
          <w:sz w:val="24"/>
          <w:lang w:eastAsia="zh-CN"/>
        </w:rPr>
        <w:t>加盖公章</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pStyle w:val="16"/>
        <w:jc w:val="both"/>
        <w:rPr>
          <w:rFonts w:hint="eastAsia" w:ascii="仿宋" w:hAnsi="仿宋" w:eastAsia="仿宋" w:cs="仿宋"/>
          <w:sz w:val="24"/>
        </w:rPr>
      </w:pPr>
      <w:r>
        <w:rPr>
          <w:rFonts w:hint="eastAsia" w:ascii="仿宋" w:hAnsi="仿宋" w:eastAsia="仿宋" w:cs="仿宋"/>
          <w:sz w:val="24"/>
        </w:rPr>
        <w:br w:type="page"/>
      </w:r>
    </w:p>
    <w:p>
      <w:pPr>
        <w:pStyle w:val="16"/>
        <w:jc w:val="both"/>
      </w:pPr>
      <w:r>
        <w:rPr>
          <w:rFonts w:hint="eastAsia" w:ascii="仿宋" w:hAnsi="仿宋" w:eastAsia="仿宋" w:cs="仿宋"/>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9DBDC"/>
    <w:multiLevelType w:val="singleLevel"/>
    <w:tmpl w:val="BFC9DBDC"/>
    <w:lvl w:ilvl="0" w:tentative="0">
      <w:start w:val="1"/>
      <w:numFmt w:val="chineseCounting"/>
      <w:suff w:val="nothing"/>
      <w:lvlText w:val="%1、"/>
      <w:lvlJc w:val="left"/>
      <w:rPr>
        <w:rFonts w:hint="eastAsia"/>
      </w:rPr>
    </w:lvl>
  </w:abstractNum>
  <w:abstractNum w:abstractNumId="1">
    <w:nsid w:val="C95462B1"/>
    <w:multiLevelType w:val="singleLevel"/>
    <w:tmpl w:val="C95462B1"/>
    <w:lvl w:ilvl="0" w:tentative="0">
      <w:start w:val="2"/>
      <w:numFmt w:val="chineseCounting"/>
      <w:suff w:val="nothing"/>
      <w:lvlText w:val="%1、"/>
      <w:lvlJc w:val="left"/>
      <w:rPr>
        <w:rFonts w:hint="eastAsia"/>
      </w:rPr>
    </w:lvl>
  </w:abstractNum>
  <w:abstractNum w:abstractNumId="2">
    <w:nsid w:val="04E359B7"/>
    <w:multiLevelType w:val="singleLevel"/>
    <w:tmpl w:val="04E359B7"/>
    <w:lvl w:ilvl="0" w:tentative="0">
      <w:start w:val="1"/>
      <w:numFmt w:val="decimal"/>
      <w:lvlText w:val="%1."/>
      <w:lvlJc w:val="left"/>
      <w:pPr>
        <w:tabs>
          <w:tab w:val="left" w:pos="312"/>
        </w:tabs>
      </w:pPr>
    </w:lvl>
  </w:abstractNum>
  <w:abstractNum w:abstractNumId="3">
    <w:nsid w:val="051F0221"/>
    <w:multiLevelType w:val="singleLevel"/>
    <w:tmpl w:val="051F0221"/>
    <w:lvl w:ilvl="0" w:tentative="0">
      <w:start w:val="1"/>
      <w:numFmt w:val="decimal"/>
      <w:suff w:val="nothing"/>
      <w:lvlText w:val="（%1）"/>
      <w:lvlJc w:val="left"/>
    </w:lvl>
  </w:abstractNum>
  <w:abstractNum w:abstractNumId="4">
    <w:nsid w:val="0FA17238"/>
    <w:multiLevelType w:val="singleLevel"/>
    <w:tmpl w:val="0FA17238"/>
    <w:lvl w:ilvl="0" w:tentative="0">
      <w:start w:val="2"/>
      <w:numFmt w:val="chineseCounting"/>
      <w:suff w:val="nothing"/>
      <w:lvlText w:val="%1、"/>
      <w:lvlJc w:val="left"/>
      <w:rPr>
        <w:rFonts w:hint="eastAsia"/>
      </w:rPr>
    </w:lvl>
  </w:abstractNum>
  <w:abstractNum w:abstractNumId="5">
    <w:nsid w:val="46FF63E3"/>
    <w:multiLevelType w:val="singleLevel"/>
    <w:tmpl w:val="46FF63E3"/>
    <w:lvl w:ilvl="0" w:tentative="0">
      <w:start w:val="3"/>
      <w:numFmt w:val="decimal"/>
      <w:lvlText w:val="%1."/>
      <w:lvlJc w:val="left"/>
      <w:pPr>
        <w:tabs>
          <w:tab w:val="left" w:pos="312"/>
        </w:tabs>
      </w:pPr>
    </w:lvl>
  </w:abstractNum>
  <w:abstractNum w:abstractNumId="6">
    <w:nsid w:val="53BE6FC0"/>
    <w:multiLevelType w:val="multilevel"/>
    <w:tmpl w:val="53BE6FC0"/>
    <w:lvl w:ilvl="0" w:tentative="0">
      <w:start w:val="1"/>
      <w:numFmt w:val="decimal"/>
      <w:pStyle w:val="3"/>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7">
    <w:nsid w:val="561EECA6"/>
    <w:multiLevelType w:val="singleLevel"/>
    <w:tmpl w:val="561EECA6"/>
    <w:lvl w:ilvl="0" w:tentative="0">
      <w:start w:val="1"/>
      <w:numFmt w:val="chineseCounting"/>
      <w:suff w:val="nothing"/>
      <w:lvlText w:val="（%1）"/>
      <w:lvlJc w:val="left"/>
      <w:rPr>
        <w:rFonts w:hint="eastAsia"/>
      </w:rPr>
    </w:lvl>
  </w:abstractNum>
  <w:abstractNum w:abstractNumId="8">
    <w:nsid w:val="66373619"/>
    <w:multiLevelType w:val="singleLevel"/>
    <w:tmpl w:val="66373619"/>
    <w:lvl w:ilvl="0" w:tentative="0">
      <w:start w:val="3"/>
      <w:numFmt w:val="chineseCounting"/>
      <w:suff w:val="space"/>
      <w:lvlText w:val="第%1篇"/>
      <w:lvlJc w:val="left"/>
      <w:rPr>
        <w:rFonts w:hint="eastAsia"/>
      </w:rPr>
    </w:lvl>
  </w:abstractNum>
  <w:abstractNum w:abstractNumId="9">
    <w:nsid w:val="77E38D1F"/>
    <w:multiLevelType w:val="singleLevel"/>
    <w:tmpl w:val="77E38D1F"/>
    <w:lvl w:ilvl="0" w:tentative="0">
      <w:start w:val="1"/>
      <w:numFmt w:val="chineseCounting"/>
      <w:suff w:val="nothing"/>
      <w:lvlText w:val="（%1）"/>
      <w:lvlJc w:val="left"/>
      <w:pPr>
        <w:ind w:left="480" w:leftChars="0" w:firstLine="0" w:firstLineChars="0"/>
      </w:pPr>
      <w:rPr>
        <w:rFonts w:hint="eastAsia"/>
      </w:rPr>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4"/>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53B52B8D"/>
    <w:rsid w:val="01886BBD"/>
    <w:rsid w:val="0260648F"/>
    <w:rsid w:val="027F0426"/>
    <w:rsid w:val="06B527D4"/>
    <w:rsid w:val="0E197732"/>
    <w:rsid w:val="140E598D"/>
    <w:rsid w:val="177F50ED"/>
    <w:rsid w:val="1ABD0E17"/>
    <w:rsid w:val="2B8472BC"/>
    <w:rsid w:val="31860C5A"/>
    <w:rsid w:val="384F0C8B"/>
    <w:rsid w:val="38561A88"/>
    <w:rsid w:val="39E031CE"/>
    <w:rsid w:val="44E95EDC"/>
    <w:rsid w:val="49ED133F"/>
    <w:rsid w:val="510676F3"/>
    <w:rsid w:val="53B52B8D"/>
    <w:rsid w:val="549239F0"/>
    <w:rsid w:val="5A164922"/>
    <w:rsid w:val="651314FA"/>
    <w:rsid w:val="655C7259"/>
    <w:rsid w:val="69090935"/>
    <w:rsid w:val="6A501C2F"/>
    <w:rsid w:val="6CCB0EA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tabs>
        <w:tab w:val="left" w:pos="839"/>
      </w:tabs>
      <w:spacing w:before="0" w:beforeLines="0" w:beforeAutospacing="0" w:after="120" w:afterLines="0" w:afterAutospacing="0"/>
      <w:ind w:firstLine="420" w:firstLineChars="100"/>
      <w:jc w:val="both"/>
    </w:pPr>
    <w:rPr>
      <w:rFonts w:ascii="Tahoma" w:hAnsi="Tahoma" w:eastAsia="宋体" w:cs="Times New Roman"/>
      <w:kern w:val="2"/>
    </w:rPr>
  </w:style>
  <w:style w:type="paragraph" w:styleId="3">
    <w:name w:val="Body Text"/>
    <w:basedOn w:val="1"/>
    <w:next w:val="1"/>
    <w:qFormat/>
    <w:uiPriority w:val="0"/>
    <w:pPr>
      <w:numPr>
        <w:ilvl w:val="0"/>
        <w:numId w:val="1"/>
      </w:numPr>
      <w:spacing w:after="120"/>
      <w:ind w:left="0" w:firstLine="0"/>
    </w:pPr>
  </w:style>
  <w:style w:type="paragraph" w:styleId="7">
    <w:name w:val="annotation text"/>
    <w:basedOn w:val="1"/>
    <w:semiHidden/>
    <w:unhideWhenUsed/>
    <w:qFormat/>
    <w:uiPriority w:val="99"/>
    <w:pPr>
      <w:jc w:val="left"/>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style>
  <w:style w:type="paragraph" w:styleId="10">
    <w:name w:val="toc 1"/>
    <w:basedOn w:val="1"/>
    <w:next w:val="1"/>
    <w:qFormat/>
    <w:uiPriority w:val="0"/>
    <w:pPr>
      <w:spacing w:line="180" w:lineRule="auto"/>
      <w:jc w:val="center"/>
    </w:pPr>
    <w:rPr>
      <w:sz w:val="30"/>
    </w:rPr>
  </w:style>
  <w:style w:type="paragraph" w:styleId="11">
    <w:name w:val="index heading"/>
    <w:basedOn w:val="1"/>
    <w:next w:val="12"/>
    <w:qFormat/>
    <w:uiPriority w:val="0"/>
    <w:rPr>
      <w:szCs w:val="20"/>
    </w:rPr>
  </w:style>
  <w:style w:type="paragraph" w:styleId="12">
    <w:name w:val="index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character" w:customStyle="1" w:styleId="17">
    <w:name w:val="font21"/>
    <w:basedOn w:val="15"/>
    <w:qFormat/>
    <w:uiPriority w:val="0"/>
    <w:rPr>
      <w:rFonts w:ascii="Calibri" w:hAnsi="Calibri" w:cs="Calibri"/>
      <w:color w:val="000000"/>
      <w:sz w:val="24"/>
      <w:szCs w:val="24"/>
      <w:u w:val="none"/>
    </w:rPr>
  </w:style>
  <w:style w:type="character" w:customStyle="1" w:styleId="18">
    <w:name w:val="font11"/>
    <w:basedOn w:val="15"/>
    <w:qFormat/>
    <w:uiPriority w:val="0"/>
    <w:rPr>
      <w:rFonts w:hint="eastAsia" w:ascii="宋体" w:hAnsi="宋体" w:eastAsia="宋体" w:cs="宋体"/>
      <w:color w:val="000000"/>
      <w:sz w:val="24"/>
      <w:szCs w:val="24"/>
      <w:u w:val="none"/>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8052</Words>
  <Characters>8330</Characters>
  <Lines>0</Lines>
  <Paragraphs>0</Paragraphs>
  <TotalTime>18</TotalTime>
  <ScaleCrop>false</ScaleCrop>
  <LinksUpToDate>false</LinksUpToDate>
  <CharactersWithSpaces>8964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小莉</cp:lastModifiedBy>
  <dcterms:modified xsi:type="dcterms:W3CDTF">2024-09-10T08:52:14Z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4EE007469B8A4DD5B86D44F8D50A5D57_13</vt:lpwstr>
  </property>
</Properties>
</file>